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10AA6" w14:textId="77777777" w:rsidR="009A0814" w:rsidRPr="007A39F7" w:rsidRDefault="009A0814" w:rsidP="00031AD2">
      <w:pPr>
        <w:spacing w:line="360" w:lineRule="auto"/>
        <w:ind w:firstLine="720"/>
        <w:jc w:val="center"/>
        <w:rPr>
          <w:sz w:val="24"/>
          <w:szCs w:val="24"/>
        </w:rPr>
      </w:pPr>
    </w:p>
    <w:p w14:paraId="391281AB" w14:textId="77777777" w:rsidR="009A0814" w:rsidRPr="007A39F7" w:rsidRDefault="009A0814" w:rsidP="00031AD2">
      <w:pPr>
        <w:spacing w:line="360" w:lineRule="auto"/>
        <w:ind w:firstLine="720"/>
        <w:jc w:val="center"/>
        <w:rPr>
          <w:sz w:val="24"/>
          <w:szCs w:val="24"/>
        </w:rPr>
      </w:pPr>
    </w:p>
    <w:p w14:paraId="67307E2A" w14:textId="77777777" w:rsidR="009A0814" w:rsidRPr="007A39F7" w:rsidRDefault="009A0814" w:rsidP="00031AD2">
      <w:pPr>
        <w:spacing w:line="360" w:lineRule="auto"/>
        <w:ind w:firstLine="720"/>
        <w:jc w:val="center"/>
        <w:rPr>
          <w:sz w:val="24"/>
          <w:szCs w:val="24"/>
        </w:rPr>
      </w:pPr>
    </w:p>
    <w:p w14:paraId="204225BA" w14:textId="77777777" w:rsidR="009A0814" w:rsidRPr="007A39F7" w:rsidRDefault="009A0814" w:rsidP="00031AD2">
      <w:pPr>
        <w:spacing w:line="360" w:lineRule="auto"/>
        <w:ind w:firstLine="720"/>
        <w:jc w:val="center"/>
        <w:rPr>
          <w:sz w:val="24"/>
          <w:szCs w:val="24"/>
        </w:rPr>
      </w:pPr>
    </w:p>
    <w:p w14:paraId="434E2CFD" w14:textId="77777777" w:rsidR="009A0814" w:rsidRPr="007A39F7" w:rsidRDefault="009A0814" w:rsidP="00031AD2">
      <w:pPr>
        <w:spacing w:line="360" w:lineRule="auto"/>
        <w:ind w:firstLine="720"/>
        <w:jc w:val="center"/>
        <w:rPr>
          <w:sz w:val="24"/>
          <w:szCs w:val="24"/>
        </w:rPr>
      </w:pPr>
    </w:p>
    <w:p w14:paraId="6740E7BE" w14:textId="77777777" w:rsidR="009A0814" w:rsidRPr="007A39F7" w:rsidRDefault="009A0814" w:rsidP="00031AD2">
      <w:pPr>
        <w:spacing w:line="360" w:lineRule="auto"/>
        <w:ind w:firstLine="720"/>
        <w:jc w:val="center"/>
        <w:rPr>
          <w:sz w:val="24"/>
          <w:szCs w:val="24"/>
        </w:rPr>
      </w:pPr>
    </w:p>
    <w:p w14:paraId="712AB576" w14:textId="77777777" w:rsidR="009A0814" w:rsidRPr="007A39F7" w:rsidRDefault="009A0814" w:rsidP="00031AD2">
      <w:pPr>
        <w:spacing w:line="360" w:lineRule="auto"/>
        <w:ind w:firstLine="720"/>
        <w:jc w:val="center"/>
        <w:rPr>
          <w:sz w:val="24"/>
          <w:szCs w:val="24"/>
        </w:rPr>
      </w:pPr>
    </w:p>
    <w:p w14:paraId="70D98E63" w14:textId="77777777" w:rsidR="009A0814" w:rsidRPr="007A39F7" w:rsidRDefault="009A0814" w:rsidP="00031AD2">
      <w:pPr>
        <w:spacing w:line="360" w:lineRule="auto"/>
        <w:ind w:firstLine="720"/>
        <w:jc w:val="center"/>
        <w:rPr>
          <w:sz w:val="24"/>
          <w:szCs w:val="24"/>
        </w:rPr>
      </w:pPr>
    </w:p>
    <w:p w14:paraId="417D953A" w14:textId="77777777" w:rsidR="009A0814" w:rsidRPr="007A39F7" w:rsidRDefault="009A0814" w:rsidP="00031AD2">
      <w:pPr>
        <w:spacing w:line="360" w:lineRule="auto"/>
        <w:ind w:firstLine="720"/>
        <w:jc w:val="center"/>
        <w:rPr>
          <w:sz w:val="24"/>
          <w:szCs w:val="24"/>
        </w:rPr>
      </w:pPr>
    </w:p>
    <w:p w14:paraId="7153843D" w14:textId="77777777" w:rsidR="009A0814" w:rsidRPr="007A39F7" w:rsidRDefault="009A0814" w:rsidP="00031AD2">
      <w:pPr>
        <w:spacing w:line="360" w:lineRule="auto"/>
        <w:ind w:firstLine="720"/>
        <w:jc w:val="center"/>
        <w:rPr>
          <w:sz w:val="24"/>
          <w:szCs w:val="24"/>
        </w:rPr>
      </w:pPr>
    </w:p>
    <w:p w14:paraId="57120129" w14:textId="77777777" w:rsidR="009A0814" w:rsidRPr="007A39F7" w:rsidRDefault="009A0814" w:rsidP="00031AD2">
      <w:pPr>
        <w:spacing w:line="360" w:lineRule="auto"/>
        <w:ind w:firstLine="720"/>
        <w:jc w:val="center"/>
        <w:rPr>
          <w:sz w:val="24"/>
          <w:szCs w:val="24"/>
        </w:rPr>
      </w:pPr>
    </w:p>
    <w:p w14:paraId="29722F2B" w14:textId="77777777" w:rsidR="009A0814" w:rsidRPr="007A39F7" w:rsidRDefault="009A0814" w:rsidP="00031AD2">
      <w:pPr>
        <w:spacing w:line="360" w:lineRule="auto"/>
        <w:ind w:firstLine="720"/>
        <w:jc w:val="center"/>
        <w:rPr>
          <w:sz w:val="24"/>
          <w:szCs w:val="24"/>
        </w:rPr>
      </w:pPr>
    </w:p>
    <w:p w14:paraId="358B92D3" w14:textId="77777777" w:rsidR="009A0814" w:rsidRPr="007A39F7" w:rsidRDefault="009A0814" w:rsidP="00031AD2">
      <w:pPr>
        <w:spacing w:line="360" w:lineRule="auto"/>
        <w:ind w:firstLine="720"/>
        <w:jc w:val="center"/>
        <w:rPr>
          <w:sz w:val="24"/>
          <w:szCs w:val="24"/>
        </w:rPr>
      </w:pPr>
    </w:p>
    <w:p w14:paraId="34B58EFE" w14:textId="6DBAFAFA" w:rsidR="009A0814" w:rsidRPr="007A39F7" w:rsidRDefault="009A0814" w:rsidP="00031AD2">
      <w:pPr>
        <w:spacing w:line="360" w:lineRule="auto"/>
        <w:ind w:firstLine="720"/>
        <w:jc w:val="center"/>
        <w:rPr>
          <w:sz w:val="24"/>
          <w:szCs w:val="24"/>
        </w:rPr>
      </w:pPr>
      <w:r w:rsidRPr="007A39F7">
        <w:rPr>
          <w:sz w:val="24"/>
          <w:szCs w:val="24"/>
        </w:rPr>
        <w:t>Assessment</w:t>
      </w:r>
    </w:p>
    <w:p w14:paraId="777BA0C6" w14:textId="0C780B44" w:rsidR="009A0814" w:rsidRPr="007A39F7" w:rsidRDefault="009A0814" w:rsidP="00031AD2">
      <w:pPr>
        <w:spacing w:line="360" w:lineRule="auto"/>
        <w:ind w:firstLine="720"/>
        <w:jc w:val="center"/>
        <w:rPr>
          <w:sz w:val="24"/>
          <w:szCs w:val="24"/>
        </w:rPr>
      </w:pPr>
      <w:r w:rsidRPr="007A39F7">
        <w:rPr>
          <w:sz w:val="24"/>
          <w:szCs w:val="24"/>
        </w:rPr>
        <w:t>Institution Affiliation</w:t>
      </w:r>
    </w:p>
    <w:p w14:paraId="2904BB5A" w14:textId="46AC8A28" w:rsidR="0095633B" w:rsidRPr="007A39F7" w:rsidRDefault="009A0814" w:rsidP="00681667">
      <w:pPr>
        <w:spacing w:line="360" w:lineRule="auto"/>
        <w:ind w:firstLine="720"/>
        <w:jc w:val="center"/>
        <w:rPr>
          <w:sz w:val="24"/>
          <w:szCs w:val="24"/>
        </w:rPr>
      </w:pPr>
      <w:r w:rsidRPr="007A39F7">
        <w:rPr>
          <w:sz w:val="24"/>
          <w:szCs w:val="24"/>
        </w:rPr>
        <w:t>Student’s Admission Number</w:t>
      </w:r>
      <w:r w:rsidRPr="007A39F7">
        <w:rPr>
          <w:sz w:val="24"/>
          <w:szCs w:val="24"/>
        </w:rPr>
        <w:br w:type="page"/>
      </w:r>
    </w:p>
    <w:p w14:paraId="35944217" w14:textId="77777777" w:rsidR="007F3D4E" w:rsidRPr="007A39F7" w:rsidRDefault="0009574F" w:rsidP="00031AD2">
      <w:pPr>
        <w:pStyle w:val="ListParagraph"/>
        <w:numPr>
          <w:ilvl w:val="0"/>
          <w:numId w:val="4"/>
        </w:numPr>
        <w:spacing w:line="360" w:lineRule="auto"/>
        <w:ind w:firstLine="720"/>
        <w:rPr>
          <w:b/>
          <w:sz w:val="24"/>
          <w:szCs w:val="24"/>
        </w:rPr>
      </w:pPr>
      <w:r w:rsidRPr="007A39F7">
        <w:rPr>
          <w:sz w:val="24"/>
          <w:szCs w:val="24"/>
        </w:rPr>
        <w:lastRenderedPageBreak/>
        <w:t>Did Dr Grimes breach the duty of care he owed Maggie in the circu</w:t>
      </w:r>
      <w:r w:rsidR="006F0E66" w:rsidRPr="007A39F7">
        <w:rPr>
          <w:sz w:val="24"/>
          <w:szCs w:val="24"/>
        </w:rPr>
        <w:t>m</w:t>
      </w:r>
      <w:r w:rsidRPr="007A39F7">
        <w:rPr>
          <w:sz w:val="24"/>
          <w:szCs w:val="24"/>
        </w:rPr>
        <w:t>stances?</w:t>
      </w:r>
    </w:p>
    <w:p w14:paraId="13B83065" w14:textId="77777777" w:rsidR="00671342" w:rsidRPr="007A39F7" w:rsidRDefault="0009574F" w:rsidP="00031AD2">
      <w:pPr>
        <w:pStyle w:val="ListParagraph"/>
        <w:spacing w:line="360" w:lineRule="auto"/>
        <w:ind w:firstLine="720"/>
        <w:rPr>
          <w:b/>
          <w:sz w:val="24"/>
          <w:szCs w:val="24"/>
        </w:rPr>
      </w:pPr>
      <w:r w:rsidRPr="007A39F7">
        <w:rPr>
          <w:b/>
          <w:sz w:val="24"/>
          <w:szCs w:val="24"/>
        </w:rPr>
        <w:t>INTRODUCTION</w:t>
      </w:r>
    </w:p>
    <w:p w14:paraId="1C254379" w14:textId="5F51C649" w:rsidR="007F3D4E" w:rsidRPr="007A39F7" w:rsidRDefault="0009574F" w:rsidP="00031AD2">
      <w:pPr>
        <w:pStyle w:val="ListParagraph"/>
        <w:spacing w:line="360" w:lineRule="auto"/>
        <w:ind w:firstLine="720"/>
        <w:rPr>
          <w:sz w:val="24"/>
          <w:szCs w:val="24"/>
        </w:rPr>
      </w:pPr>
      <w:r w:rsidRPr="007A39F7">
        <w:rPr>
          <w:sz w:val="24"/>
          <w:szCs w:val="24"/>
        </w:rPr>
        <w:t>Duty of care refers to the circumstances and relationships which the law recognizes as gi</w:t>
      </w:r>
      <w:r w:rsidR="006F0E66" w:rsidRPr="007A39F7">
        <w:rPr>
          <w:sz w:val="24"/>
          <w:szCs w:val="24"/>
        </w:rPr>
        <w:t>ving rise to a legal obligation to take responsibility. According to the Black's law dictionary, it is the duty to act with the diligence, and the prevailing standard for the kind of work performed and to use any special skills the actor has to complete the job</w:t>
      </w:r>
      <w:r w:rsidR="007A39F7">
        <w:rPr>
          <w:rStyle w:val="FootnoteReference"/>
          <w:sz w:val="24"/>
          <w:szCs w:val="24"/>
        </w:rPr>
        <w:footnoteReference w:id="1"/>
      </w:r>
      <w:r w:rsidR="006F0E66" w:rsidRPr="007A39F7">
        <w:rPr>
          <w:sz w:val="24"/>
          <w:szCs w:val="24"/>
        </w:rPr>
        <w:t>. The plaintiff is supposed to justify that the defendant owed him a duty of care in the circumstances</w:t>
      </w:r>
      <w:r w:rsidR="007A39F7">
        <w:rPr>
          <w:sz w:val="24"/>
          <w:szCs w:val="24"/>
        </w:rPr>
        <w:t>. T</w:t>
      </w:r>
      <w:r w:rsidR="006F0E66" w:rsidRPr="007A39F7">
        <w:rPr>
          <w:sz w:val="24"/>
          <w:szCs w:val="24"/>
        </w:rPr>
        <w:t>he circumstances being, the defendant knew or ought to have known that acting negligently would injure the plaintiff. As a general rule, every person owes his neighbour a legal duty of care.</w:t>
      </w:r>
    </w:p>
    <w:p w14:paraId="5C9A35F2" w14:textId="77777777" w:rsidR="006F0E66" w:rsidRPr="007A39F7" w:rsidRDefault="0009574F" w:rsidP="00031AD2">
      <w:pPr>
        <w:pStyle w:val="ListParagraph"/>
        <w:spacing w:line="360" w:lineRule="auto"/>
        <w:ind w:firstLine="720"/>
        <w:rPr>
          <w:b/>
          <w:sz w:val="24"/>
          <w:szCs w:val="24"/>
        </w:rPr>
      </w:pPr>
      <w:r w:rsidRPr="007A39F7">
        <w:rPr>
          <w:b/>
          <w:sz w:val="24"/>
          <w:szCs w:val="24"/>
        </w:rPr>
        <w:t>Establishing the duty of care</w:t>
      </w:r>
    </w:p>
    <w:p w14:paraId="23147F93" w14:textId="53D73935" w:rsidR="000B04CB" w:rsidRPr="007A39F7" w:rsidRDefault="0009574F" w:rsidP="00031AD2">
      <w:pPr>
        <w:pStyle w:val="ListParagraph"/>
        <w:spacing w:line="360" w:lineRule="auto"/>
        <w:ind w:firstLine="720"/>
        <w:rPr>
          <w:sz w:val="24"/>
          <w:szCs w:val="24"/>
        </w:rPr>
      </w:pPr>
      <w:r w:rsidRPr="007A39F7">
        <w:rPr>
          <w:sz w:val="24"/>
          <w:szCs w:val="24"/>
        </w:rPr>
        <w:t>In the words of Lord</w:t>
      </w:r>
      <w:r w:rsidRPr="007A39F7">
        <w:rPr>
          <w:i/>
          <w:sz w:val="24"/>
          <w:szCs w:val="24"/>
        </w:rPr>
        <w:t xml:space="preserve"> Atkin,</w:t>
      </w:r>
      <w:r w:rsidRPr="007A39F7">
        <w:rPr>
          <w:sz w:val="24"/>
          <w:szCs w:val="24"/>
        </w:rPr>
        <w:t xml:space="preserve"> </w:t>
      </w:r>
      <w:r w:rsidRPr="006C4FF0">
        <w:rPr>
          <w:sz w:val="24"/>
          <w:szCs w:val="24"/>
        </w:rPr>
        <w:t>in Donoghue v Stevenson</w:t>
      </w:r>
      <w:r w:rsidR="007A39F7">
        <w:rPr>
          <w:rStyle w:val="FootnoteReference"/>
          <w:b/>
          <w:i/>
          <w:sz w:val="24"/>
          <w:szCs w:val="24"/>
        </w:rPr>
        <w:footnoteReference w:id="2"/>
      </w:r>
      <w:r w:rsidRPr="007A39F7">
        <w:rPr>
          <w:b/>
          <w:i/>
          <w:sz w:val="24"/>
          <w:szCs w:val="24"/>
        </w:rPr>
        <w:t xml:space="preserve">, </w:t>
      </w:r>
      <w:r w:rsidRPr="007A39F7">
        <w:rPr>
          <w:sz w:val="24"/>
          <w:szCs w:val="24"/>
        </w:rPr>
        <w:t>a person owes a duty of care to his neighbour. It is the so-called neighbour principal. Reasonable care must be taken to avoid acts or omissions which one can reasonably foresee would likely injure their neighbour. The neighbour is the persons who are so closely and directly affected by the actions that I ought to honestly have them in contention as being so affected when am directing my mind to the acts or omissions which calls into question. Whether a person owes another, a duty depends on whether such a person could reasonably have foreseen injuring the other.</w:t>
      </w:r>
    </w:p>
    <w:p w14:paraId="646EEB23" w14:textId="77777777" w:rsidR="000B04CB" w:rsidRPr="007A39F7" w:rsidRDefault="0009574F" w:rsidP="00031AD2">
      <w:pPr>
        <w:pStyle w:val="ListParagraph"/>
        <w:spacing w:line="360" w:lineRule="auto"/>
        <w:ind w:firstLine="720"/>
        <w:rPr>
          <w:b/>
          <w:sz w:val="24"/>
          <w:szCs w:val="24"/>
        </w:rPr>
      </w:pPr>
      <w:r w:rsidRPr="007A39F7">
        <w:rPr>
          <w:b/>
          <w:sz w:val="24"/>
          <w:szCs w:val="24"/>
        </w:rPr>
        <w:t>The standard of care</w:t>
      </w:r>
    </w:p>
    <w:p w14:paraId="0E3F9B86" w14:textId="6439E08F" w:rsidR="0043382D" w:rsidRPr="007A39F7" w:rsidRDefault="0009574F" w:rsidP="00031AD2">
      <w:pPr>
        <w:pStyle w:val="ListParagraph"/>
        <w:spacing w:line="360" w:lineRule="auto"/>
        <w:ind w:firstLine="720"/>
        <w:rPr>
          <w:sz w:val="24"/>
          <w:szCs w:val="24"/>
        </w:rPr>
      </w:pPr>
      <w:r w:rsidRPr="007A39F7">
        <w:rPr>
          <w:sz w:val="24"/>
          <w:szCs w:val="24"/>
        </w:rPr>
        <w:t>The standard of care expected of the defendant is that of a reasonable man of reasonable prudence.</w:t>
      </w:r>
      <w:r w:rsidR="00A74B5A" w:rsidRPr="007A39F7">
        <w:rPr>
          <w:sz w:val="24"/>
          <w:szCs w:val="24"/>
        </w:rPr>
        <w:t xml:space="preserve"> </w:t>
      </w:r>
      <w:r w:rsidR="00A74B5A" w:rsidRPr="007A39F7">
        <w:rPr>
          <w:rFonts w:eastAsia="Times New Roman" w:cstheme="minorHAnsi"/>
          <w:sz w:val="24"/>
          <w:szCs w:val="24"/>
          <w:lang w:val="en-GB" w:eastAsia="en-GB"/>
        </w:rPr>
        <w:t>Cairney</w:t>
      </w:r>
      <w:r w:rsidR="00871C57">
        <w:rPr>
          <w:rFonts w:eastAsia="Times New Roman" w:cstheme="minorHAnsi"/>
          <w:sz w:val="24"/>
          <w:szCs w:val="24"/>
          <w:lang w:val="en-GB" w:eastAsia="en-GB"/>
        </w:rPr>
        <w:t xml:space="preserve"> (</w:t>
      </w:r>
      <w:r w:rsidR="00A74B5A" w:rsidRPr="007A39F7">
        <w:rPr>
          <w:sz w:val="24"/>
          <w:szCs w:val="24"/>
        </w:rPr>
        <w:t>2019)</w:t>
      </w:r>
      <w:r w:rsidR="00871C57">
        <w:rPr>
          <w:sz w:val="24"/>
          <w:szCs w:val="24"/>
        </w:rPr>
        <w:t xml:space="preserve"> suggests that </w:t>
      </w:r>
      <w:r w:rsidR="00A74B5A" w:rsidRPr="007A39F7">
        <w:rPr>
          <w:sz w:val="24"/>
          <w:szCs w:val="24"/>
        </w:rPr>
        <w:t>t</w:t>
      </w:r>
      <w:r w:rsidRPr="007A39F7">
        <w:rPr>
          <w:sz w:val="24"/>
          <w:szCs w:val="24"/>
        </w:rPr>
        <w:t>his is a person who has the minimum information and knowledge necessary to act reasonably in any situation. Where professionals and experts are involved, the standard of care is that of a reasonably competent professional.</w:t>
      </w:r>
    </w:p>
    <w:p w14:paraId="5136A6BB" w14:textId="77777777" w:rsidR="00270331" w:rsidRDefault="0009574F" w:rsidP="00031AD2">
      <w:pPr>
        <w:pStyle w:val="ListParagraph"/>
        <w:spacing w:line="360" w:lineRule="auto"/>
        <w:ind w:firstLine="720"/>
        <w:rPr>
          <w:sz w:val="24"/>
          <w:szCs w:val="24"/>
        </w:rPr>
        <w:sectPr w:rsidR="00270331" w:rsidSect="00031AD2">
          <w:headerReference w:type="default" r:id="rId8"/>
          <w:footerReference w:type="default" r:id="rId9"/>
          <w:headerReference w:type="first" r:id="rId10"/>
          <w:footerReference w:type="first" r:id="rId11"/>
          <w:pgSz w:w="11907" w:h="16839" w:code="9"/>
          <w:pgMar w:top="1440" w:right="1440" w:bottom="1440" w:left="1440" w:header="720" w:footer="1008" w:gutter="0"/>
          <w:cols w:space="720"/>
          <w:titlePg/>
          <w:docGrid w:linePitch="326"/>
        </w:sectPr>
      </w:pPr>
      <w:r w:rsidRPr="007A39F7">
        <w:rPr>
          <w:b/>
          <w:sz w:val="24"/>
          <w:szCs w:val="24"/>
        </w:rPr>
        <w:t>Breach of the duty of care</w:t>
      </w:r>
      <w:r w:rsidR="000B04CB" w:rsidRPr="007A39F7">
        <w:rPr>
          <w:sz w:val="24"/>
          <w:szCs w:val="24"/>
        </w:rPr>
        <w:t xml:space="preserve"> </w:t>
      </w:r>
    </w:p>
    <w:p w14:paraId="393E162F" w14:textId="2DFCAAF1" w:rsidR="0043382D" w:rsidRPr="007A39F7" w:rsidRDefault="0043382D" w:rsidP="00031AD2">
      <w:pPr>
        <w:pStyle w:val="ListParagraph"/>
        <w:spacing w:line="360" w:lineRule="auto"/>
        <w:ind w:firstLine="720"/>
        <w:rPr>
          <w:sz w:val="24"/>
          <w:szCs w:val="24"/>
        </w:rPr>
      </w:pPr>
    </w:p>
    <w:p w14:paraId="1DE5CCE3" w14:textId="77777777" w:rsidR="0043382D" w:rsidRPr="007A39F7" w:rsidRDefault="0009574F" w:rsidP="00031AD2">
      <w:pPr>
        <w:pStyle w:val="ListParagraph"/>
        <w:spacing w:line="360" w:lineRule="auto"/>
        <w:ind w:firstLine="720"/>
        <w:rPr>
          <w:sz w:val="24"/>
          <w:szCs w:val="24"/>
        </w:rPr>
      </w:pPr>
      <w:r w:rsidRPr="007A39F7">
        <w:rPr>
          <w:sz w:val="24"/>
          <w:szCs w:val="24"/>
        </w:rPr>
        <w:t>Breach of duty of care is the violation of a legal or moral obligation, and the failure to act as the law obligates one to move, a fiduciary's violation of a debt owed to another.</w:t>
      </w:r>
      <w:r w:rsidR="007E26C2" w:rsidRPr="007A39F7">
        <w:rPr>
          <w:sz w:val="24"/>
          <w:szCs w:val="24"/>
        </w:rPr>
        <w:t xml:space="preserve"> </w:t>
      </w:r>
      <w:r w:rsidRPr="007A39F7">
        <w:rPr>
          <w:sz w:val="24"/>
          <w:szCs w:val="24"/>
        </w:rPr>
        <w:t>The plaintiff must prove that the defendant acted negligently, thereby breaching his legal duty of care. This is about some specific acts or omissions.</w:t>
      </w:r>
      <w:r w:rsidR="000B04CB" w:rsidRPr="007A39F7">
        <w:rPr>
          <w:sz w:val="24"/>
          <w:szCs w:val="24"/>
        </w:rPr>
        <w:t xml:space="preserve"> </w:t>
      </w:r>
    </w:p>
    <w:p w14:paraId="13F1E2B4" w14:textId="77777777" w:rsidR="007E26C2" w:rsidRPr="007A39F7" w:rsidRDefault="0009574F" w:rsidP="00031AD2">
      <w:pPr>
        <w:pStyle w:val="ListParagraph"/>
        <w:spacing w:line="360" w:lineRule="auto"/>
        <w:ind w:firstLine="720"/>
        <w:rPr>
          <w:sz w:val="24"/>
          <w:szCs w:val="24"/>
        </w:rPr>
      </w:pPr>
      <w:r w:rsidRPr="007A39F7">
        <w:rPr>
          <w:sz w:val="24"/>
          <w:szCs w:val="24"/>
        </w:rPr>
        <w:t>The plaintiff must, however, prove that there is a direct causal link between the breach of duty and the loss or harm suffered. That is, the plaintiff must prove that as a result of the defendant's breach of duty, he suffered the injury. This loss must be traceable to the defendant's breach of legal responsibility. The loss must be reasonably foreseeable from his acts or omissions.</w:t>
      </w:r>
    </w:p>
    <w:p w14:paraId="4192DCBF" w14:textId="77777777" w:rsidR="007E26C2" w:rsidRPr="007A39F7" w:rsidRDefault="0009574F" w:rsidP="00031AD2">
      <w:pPr>
        <w:pStyle w:val="ListParagraph"/>
        <w:spacing w:line="360" w:lineRule="auto"/>
        <w:ind w:firstLine="720"/>
        <w:rPr>
          <w:b/>
          <w:sz w:val="24"/>
          <w:szCs w:val="24"/>
        </w:rPr>
      </w:pPr>
      <w:r w:rsidRPr="007A39F7">
        <w:rPr>
          <w:b/>
          <w:sz w:val="24"/>
          <w:szCs w:val="24"/>
        </w:rPr>
        <w:t>Scenario analysis</w:t>
      </w:r>
    </w:p>
    <w:p w14:paraId="3A2B5E8F" w14:textId="2CBDE56C" w:rsidR="00671342" w:rsidRPr="007A39F7" w:rsidRDefault="0009574F" w:rsidP="00031AD2">
      <w:pPr>
        <w:pStyle w:val="ListParagraph"/>
        <w:spacing w:line="360" w:lineRule="auto"/>
        <w:ind w:firstLine="720"/>
        <w:rPr>
          <w:sz w:val="24"/>
          <w:szCs w:val="24"/>
        </w:rPr>
      </w:pPr>
      <w:r w:rsidRPr="007A39F7">
        <w:rPr>
          <w:sz w:val="24"/>
          <w:szCs w:val="24"/>
        </w:rPr>
        <w:t xml:space="preserve">From the given facts, it is clear that Dr Grimes owes a duty of care to Maggie. This is in line with Lord Atkin's neighbour principle established in the case of </w:t>
      </w:r>
      <w:r w:rsidRPr="006C4FF0">
        <w:rPr>
          <w:bCs/>
          <w:iCs/>
          <w:sz w:val="24"/>
          <w:szCs w:val="24"/>
        </w:rPr>
        <w:t>Donoghue v Stevenson.</w:t>
      </w:r>
      <w:r w:rsidRPr="007A39F7">
        <w:rPr>
          <w:b/>
          <w:i/>
          <w:sz w:val="24"/>
          <w:szCs w:val="24"/>
        </w:rPr>
        <w:t xml:space="preserve"> </w:t>
      </w:r>
      <w:r w:rsidRPr="007A39F7">
        <w:rPr>
          <w:sz w:val="24"/>
          <w:szCs w:val="24"/>
        </w:rPr>
        <w:t xml:space="preserve">Further, the standard of care is established since this is a doctor-patient relationship. The standard of care applicable in this scenario is that stated by McNair J in the case of </w:t>
      </w:r>
      <w:r w:rsidRPr="006C4FF0">
        <w:rPr>
          <w:bCs/>
          <w:iCs/>
          <w:sz w:val="24"/>
          <w:szCs w:val="24"/>
        </w:rPr>
        <w:t>Bolam v Friern Hospital Management Committee</w:t>
      </w:r>
      <w:r w:rsidRPr="007A39F7">
        <w:rPr>
          <w:sz w:val="24"/>
          <w:szCs w:val="24"/>
        </w:rPr>
        <w:t xml:space="preserve"> which is a doctor is not guilty of negligence if he has acted following a practice accepted as proper by a responsible body</w:t>
      </w:r>
      <w:r w:rsidR="006C4FF0">
        <w:rPr>
          <w:sz w:val="24"/>
          <w:szCs w:val="24"/>
          <w:vertAlign w:val="superscript"/>
        </w:rPr>
        <w:t>4</w:t>
      </w:r>
      <w:r w:rsidRPr="007A39F7">
        <w:rPr>
          <w:sz w:val="24"/>
          <w:szCs w:val="24"/>
        </w:rPr>
        <w:t xml:space="preserve">. </w:t>
      </w:r>
      <w:r w:rsidR="00943946" w:rsidRPr="007A39F7">
        <w:rPr>
          <w:sz w:val="24"/>
          <w:szCs w:val="24"/>
        </w:rPr>
        <w:t>Dr Grimes inspected Maggie's wound and even examined her when he asks her whether she had been given a tetanus vaccine previously.  He further acts reasonably by first administering a test dose. Therefore</w:t>
      </w:r>
      <w:r w:rsidR="006C4FF0">
        <w:rPr>
          <w:sz w:val="24"/>
          <w:szCs w:val="24"/>
        </w:rPr>
        <w:t>,</w:t>
      </w:r>
      <w:r w:rsidR="00943946" w:rsidRPr="007A39F7">
        <w:rPr>
          <w:sz w:val="24"/>
          <w:szCs w:val="24"/>
        </w:rPr>
        <w:t xml:space="preserve"> he does not work below the standard of care expected of him as was stated in the case of</w:t>
      </w:r>
      <w:r w:rsidR="00943946" w:rsidRPr="007A39F7">
        <w:rPr>
          <w:b/>
          <w:i/>
          <w:sz w:val="24"/>
          <w:szCs w:val="24"/>
        </w:rPr>
        <w:t xml:space="preserve"> </w:t>
      </w:r>
      <w:r w:rsidR="00943946" w:rsidRPr="006C4FF0">
        <w:rPr>
          <w:bCs/>
          <w:iCs/>
          <w:sz w:val="24"/>
          <w:szCs w:val="24"/>
        </w:rPr>
        <w:t>Anyah v Imo Concorde Hotel Ltd</w:t>
      </w:r>
      <w:r w:rsidR="006C4FF0" w:rsidRPr="006C4FF0">
        <w:rPr>
          <w:bCs/>
          <w:iCs/>
          <w:sz w:val="24"/>
          <w:szCs w:val="24"/>
          <w:vertAlign w:val="superscript"/>
        </w:rPr>
        <w:t>6</w:t>
      </w:r>
      <w:r w:rsidRPr="007A39F7">
        <w:rPr>
          <w:b/>
          <w:i/>
          <w:sz w:val="24"/>
          <w:szCs w:val="24"/>
        </w:rPr>
        <w:t>.</w:t>
      </w:r>
      <w:r w:rsidR="00943946" w:rsidRPr="007A39F7">
        <w:rPr>
          <w:sz w:val="24"/>
          <w:szCs w:val="24"/>
        </w:rPr>
        <w:t xml:space="preserve"> Also, Maggie's severe brain damage is not directly linked to this vaccine. This is so because it develops three days after she is discharged from hospital. </w:t>
      </w:r>
      <w:proofErr w:type="gramStart"/>
      <w:r w:rsidR="00943946" w:rsidRPr="007A39F7">
        <w:rPr>
          <w:sz w:val="24"/>
          <w:szCs w:val="24"/>
        </w:rPr>
        <w:t>Therefore</w:t>
      </w:r>
      <w:proofErr w:type="gramEnd"/>
      <w:r w:rsidR="00943946" w:rsidRPr="007A39F7">
        <w:rPr>
          <w:sz w:val="24"/>
          <w:szCs w:val="24"/>
        </w:rPr>
        <w:t xml:space="preserve"> there is no direct causal link as was decided in the case of </w:t>
      </w:r>
      <w:r w:rsidR="00943946" w:rsidRPr="006C4FF0">
        <w:rPr>
          <w:bCs/>
          <w:iCs/>
          <w:sz w:val="24"/>
          <w:szCs w:val="24"/>
        </w:rPr>
        <w:t>Chelsea v Kensington Hospital Management</w:t>
      </w:r>
      <w:r w:rsidR="00943946" w:rsidRPr="007A39F7">
        <w:rPr>
          <w:b/>
          <w:i/>
          <w:sz w:val="24"/>
          <w:szCs w:val="24"/>
        </w:rPr>
        <w:t>.</w:t>
      </w:r>
      <w:r w:rsidRPr="007A39F7">
        <w:rPr>
          <w:sz w:val="24"/>
          <w:szCs w:val="24"/>
        </w:rPr>
        <w:t xml:space="preserve"> The loss is not foreseeable from the doctor’s acts as was held </w:t>
      </w:r>
      <w:r w:rsidRPr="006C4FF0">
        <w:rPr>
          <w:sz w:val="24"/>
          <w:szCs w:val="24"/>
        </w:rPr>
        <w:t>in The Wagon Mound case</w:t>
      </w:r>
      <w:r w:rsidRPr="007A39F7">
        <w:rPr>
          <w:b/>
          <w:i/>
          <w:sz w:val="24"/>
          <w:szCs w:val="24"/>
        </w:rPr>
        <w:t>.</w:t>
      </w:r>
    </w:p>
    <w:p w14:paraId="541D5016" w14:textId="3C7DCC51" w:rsidR="00A75D5E" w:rsidRPr="00B20E0F" w:rsidRDefault="00A75D5E" w:rsidP="00B20E0F">
      <w:pPr>
        <w:spacing w:line="360" w:lineRule="auto"/>
        <w:rPr>
          <w:sz w:val="24"/>
          <w:szCs w:val="24"/>
        </w:rPr>
      </w:pPr>
      <w:r>
        <w:rPr>
          <w:noProof/>
        </w:rPr>
        <mc:AlternateContent>
          <mc:Choice Requires="wps">
            <w:drawing>
              <wp:anchor distT="0" distB="0" distL="114300" distR="114300" simplePos="0" relativeHeight="251659264" behindDoc="0" locked="0" layoutInCell="1" allowOverlap="1" wp14:anchorId="2DEFFACE" wp14:editId="77841B27">
                <wp:simplePos x="0" y="0"/>
                <wp:positionH relativeFrom="column">
                  <wp:posOffset>723900</wp:posOffset>
                </wp:positionH>
                <wp:positionV relativeFrom="paragraph">
                  <wp:posOffset>200025</wp:posOffset>
                </wp:positionV>
                <wp:extent cx="23622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362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2D49ED1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15.75pt" to="243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" strokecolor="black [3040]"/>
            </w:pict>
          </mc:Fallback>
        </mc:AlternateContent>
      </w:r>
    </w:p>
    <w:p w14:paraId="1E1CB3BF" w14:textId="29565CDA" w:rsidR="00A75D5E" w:rsidRPr="00B20E0F" w:rsidRDefault="006C4FF0" w:rsidP="00B20E0F">
      <w:pPr>
        <w:spacing w:line="360" w:lineRule="auto"/>
        <w:rPr>
          <w:bCs/>
          <w:iCs/>
          <w:sz w:val="24"/>
          <w:szCs w:val="24"/>
        </w:rPr>
      </w:pPr>
      <w:r>
        <w:rPr>
          <w:bCs/>
          <w:iCs/>
          <w:sz w:val="24"/>
          <w:szCs w:val="24"/>
          <w:vertAlign w:val="superscript"/>
        </w:rPr>
        <w:t>4</w:t>
      </w:r>
      <w:r w:rsidR="00A75D5E" w:rsidRPr="00B20E0F">
        <w:rPr>
          <w:bCs/>
          <w:iCs/>
          <w:sz w:val="24"/>
          <w:szCs w:val="24"/>
        </w:rPr>
        <w:t>Bolam v Friern hospital law, (published 2010) DCB 27</w:t>
      </w:r>
      <w:r w:rsidR="00A75D5E" w:rsidRPr="00B20E0F">
        <w:rPr>
          <w:bCs/>
          <w:iCs/>
          <w:sz w:val="24"/>
          <w:szCs w:val="24"/>
          <w:vertAlign w:val="superscript"/>
        </w:rPr>
        <w:t>th</w:t>
      </w:r>
      <w:r w:rsidR="00A75D5E" w:rsidRPr="00B20E0F">
        <w:rPr>
          <w:bCs/>
          <w:iCs/>
          <w:sz w:val="24"/>
          <w:szCs w:val="24"/>
        </w:rPr>
        <w:t xml:space="preserve"> January 2009 vol 373, col 740</w:t>
      </w:r>
    </w:p>
    <w:p w14:paraId="2C125010" w14:textId="23FDF282" w:rsidR="00A75D5E" w:rsidRPr="00B20E0F" w:rsidRDefault="006C4FF0" w:rsidP="00B20E0F">
      <w:pPr>
        <w:spacing w:line="360" w:lineRule="auto"/>
        <w:rPr>
          <w:bCs/>
          <w:iCs/>
          <w:sz w:val="24"/>
          <w:szCs w:val="24"/>
        </w:rPr>
      </w:pPr>
      <w:r>
        <w:rPr>
          <w:bCs/>
          <w:iCs/>
          <w:sz w:val="24"/>
          <w:szCs w:val="24"/>
          <w:vertAlign w:val="superscript"/>
        </w:rPr>
        <w:t>6</w:t>
      </w:r>
      <w:r w:rsidR="00A75D5E" w:rsidRPr="00B20E0F">
        <w:rPr>
          <w:bCs/>
          <w:iCs/>
          <w:sz w:val="24"/>
          <w:szCs w:val="24"/>
        </w:rPr>
        <w:t>Anyah v Imo obligation and duty, transcript of hearing 10</w:t>
      </w:r>
      <w:r w:rsidR="00A75D5E" w:rsidRPr="00B20E0F">
        <w:rPr>
          <w:bCs/>
          <w:iCs/>
          <w:sz w:val="24"/>
          <w:szCs w:val="24"/>
          <w:vertAlign w:val="superscript"/>
        </w:rPr>
        <w:t>th</w:t>
      </w:r>
      <w:r w:rsidR="00A75D5E" w:rsidRPr="00B20E0F">
        <w:rPr>
          <w:bCs/>
          <w:iCs/>
          <w:sz w:val="24"/>
          <w:szCs w:val="24"/>
        </w:rPr>
        <w:t xml:space="preserve"> February 2017 page 5</w:t>
      </w:r>
    </w:p>
    <w:p w14:paraId="7CC46830" w14:textId="77777777" w:rsidR="00A75D5E" w:rsidRDefault="00A75D5E" w:rsidP="00031AD2">
      <w:pPr>
        <w:pStyle w:val="ListParagraph"/>
        <w:spacing w:line="360" w:lineRule="auto"/>
        <w:ind w:firstLine="720"/>
        <w:rPr>
          <w:b/>
          <w:sz w:val="24"/>
          <w:szCs w:val="24"/>
        </w:rPr>
      </w:pPr>
    </w:p>
    <w:p w14:paraId="7DDECFD8" w14:textId="77777777" w:rsidR="00A75D5E" w:rsidRDefault="00A75D5E" w:rsidP="00031AD2">
      <w:pPr>
        <w:pStyle w:val="ListParagraph"/>
        <w:spacing w:line="360" w:lineRule="auto"/>
        <w:ind w:firstLine="720"/>
        <w:rPr>
          <w:b/>
          <w:sz w:val="24"/>
          <w:szCs w:val="24"/>
        </w:rPr>
      </w:pPr>
    </w:p>
    <w:p w14:paraId="79EEEA17" w14:textId="77777777" w:rsidR="00A75D5E" w:rsidRDefault="00A75D5E" w:rsidP="00031AD2">
      <w:pPr>
        <w:pStyle w:val="ListParagraph"/>
        <w:spacing w:line="360" w:lineRule="auto"/>
        <w:ind w:firstLine="720"/>
        <w:rPr>
          <w:b/>
          <w:sz w:val="24"/>
          <w:szCs w:val="24"/>
        </w:rPr>
      </w:pPr>
    </w:p>
    <w:p w14:paraId="2CD75F41" w14:textId="67D88EE6" w:rsidR="00671342" w:rsidRPr="007A39F7" w:rsidRDefault="0009574F" w:rsidP="00031AD2">
      <w:pPr>
        <w:pStyle w:val="ListParagraph"/>
        <w:spacing w:line="360" w:lineRule="auto"/>
        <w:ind w:firstLine="720"/>
        <w:rPr>
          <w:b/>
          <w:sz w:val="24"/>
          <w:szCs w:val="24"/>
        </w:rPr>
      </w:pPr>
      <w:r w:rsidRPr="007A39F7">
        <w:rPr>
          <w:b/>
          <w:sz w:val="24"/>
          <w:szCs w:val="24"/>
        </w:rPr>
        <w:t>CONCLUSION</w:t>
      </w:r>
    </w:p>
    <w:p w14:paraId="69F1E706" w14:textId="28D36E0D" w:rsidR="00A75D5E" w:rsidRPr="007A39F7" w:rsidRDefault="0009574F" w:rsidP="00A75D5E">
      <w:pPr>
        <w:pStyle w:val="ListParagraph"/>
        <w:spacing w:line="360" w:lineRule="auto"/>
        <w:ind w:firstLine="720"/>
        <w:rPr>
          <w:sz w:val="24"/>
          <w:szCs w:val="24"/>
        </w:rPr>
      </w:pPr>
      <w:r w:rsidRPr="007A39F7">
        <w:rPr>
          <w:sz w:val="24"/>
          <w:szCs w:val="24"/>
        </w:rPr>
        <w:t>The duty of care has been explained to mean the responsibility to take reasonable care, and the test is the neighbourhood test as formulated by Lord Atkin in the locus classicus case of Donoghue v Stevenson</w:t>
      </w:r>
      <w:r w:rsidR="006C4FF0">
        <w:rPr>
          <w:sz w:val="24"/>
          <w:szCs w:val="24"/>
          <w:vertAlign w:val="superscript"/>
        </w:rPr>
        <w:t>1</w:t>
      </w:r>
      <w:r w:rsidRPr="007A39F7">
        <w:rPr>
          <w:sz w:val="24"/>
          <w:szCs w:val="24"/>
        </w:rPr>
        <w:t xml:space="preserve">. The standard of care expected of a doctor like Grimes is of a reasonable doctor in a similar circumstance. Therefore, </w:t>
      </w:r>
      <w:r w:rsidR="00A75D5E" w:rsidRPr="007A39F7">
        <w:rPr>
          <w:sz w:val="24"/>
          <w:szCs w:val="24"/>
        </w:rPr>
        <w:t xml:space="preserve">a doctor owes a duty of care to a patient. Dr Grimes did precisely that. The loss was not foreseeable, and there is no direct causal link. </w:t>
      </w:r>
      <w:proofErr w:type="gramStart"/>
      <w:r w:rsidR="00A75D5E" w:rsidRPr="007A39F7">
        <w:rPr>
          <w:sz w:val="24"/>
          <w:szCs w:val="24"/>
        </w:rPr>
        <w:t>Therefore</w:t>
      </w:r>
      <w:proofErr w:type="gramEnd"/>
      <w:r w:rsidR="00A75D5E" w:rsidRPr="007A39F7">
        <w:rPr>
          <w:sz w:val="24"/>
          <w:szCs w:val="24"/>
        </w:rPr>
        <w:t xml:space="preserve"> Dr Grimes did not breach his duty of care towards Maggie and thus, there is no successful entitlement to damages. Though Dr Grimes owed Maggie the duty of care, he did not breach it as he acted reasonably.</w:t>
      </w:r>
    </w:p>
    <w:p w14:paraId="0038CA91" w14:textId="77777777" w:rsidR="00A75D5E" w:rsidRPr="007A39F7" w:rsidRDefault="00A75D5E" w:rsidP="00A75D5E">
      <w:pPr>
        <w:pStyle w:val="ListParagraph"/>
        <w:numPr>
          <w:ilvl w:val="0"/>
          <w:numId w:val="4"/>
        </w:numPr>
        <w:spacing w:line="360" w:lineRule="auto"/>
        <w:ind w:firstLine="720"/>
        <w:rPr>
          <w:sz w:val="24"/>
          <w:szCs w:val="24"/>
        </w:rPr>
      </w:pPr>
      <w:r w:rsidRPr="007A39F7">
        <w:rPr>
          <w:sz w:val="24"/>
          <w:szCs w:val="24"/>
        </w:rPr>
        <w:t xml:space="preserve">Did </w:t>
      </w:r>
      <w:proofErr w:type="spellStart"/>
      <w:r w:rsidRPr="007A39F7">
        <w:rPr>
          <w:sz w:val="24"/>
          <w:szCs w:val="24"/>
        </w:rPr>
        <w:t>Anyshire</w:t>
      </w:r>
      <w:proofErr w:type="spellEnd"/>
      <w:r w:rsidRPr="007A39F7">
        <w:rPr>
          <w:sz w:val="24"/>
          <w:szCs w:val="24"/>
        </w:rPr>
        <w:t xml:space="preserve"> NHS Hospital trust owe Dr Grimes a duty to avoid causing him psychiatric harm caused by work-related stress in the circumstances?</w:t>
      </w:r>
    </w:p>
    <w:p w14:paraId="1DBFDA0B" w14:textId="77777777" w:rsidR="00A75D5E" w:rsidRPr="007A39F7" w:rsidRDefault="00A75D5E" w:rsidP="00A75D5E">
      <w:pPr>
        <w:pStyle w:val="ListParagraph"/>
        <w:spacing w:line="360" w:lineRule="auto"/>
        <w:ind w:firstLine="720"/>
        <w:rPr>
          <w:b/>
          <w:sz w:val="24"/>
          <w:szCs w:val="24"/>
        </w:rPr>
      </w:pPr>
      <w:r w:rsidRPr="007A39F7">
        <w:rPr>
          <w:b/>
          <w:sz w:val="24"/>
          <w:szCs w:val="24"/>
        </w:rPr>
        <w:t>INTRODUCTION</w:t>
      </w:r>
    </w:p>
    <w:p w14:paraId="641CA8C5" w14:textId="77777777" w:rsidR="00A75D5E" w:rsidRPr="007A39F7" w:rsidRDefault="00A75D5E" w:rsidP="00A75D5E">
      <w:pPr>
        <w:pStyle w:val="ListParagraph"/>
        <w:spacing w:line="360" w:lineRule="auto"/>
        <w:ind w:firstLine="720"/>
        <w:rPr>
          <w:sz w:val="24"/>
          <w:szCs w:val="24"/>
        </w:rPr>
      </w:pPr>
      <w:r w:rsidRPr="007A39F7">
        <w:rPr>
          <w:sz w:val="24"/>
          <w:szCs w:val="24"/>
        </w:rPr>
        <w:t xml:space="preserve">Employers should take reasonable steps to ensure the safety of all employees, and they are obliged to observe a reasonable standard of care. Employers are required to provide adequate safety information and equipment to their employees, to ensure </w:t>
      </w:r>
    </w:p>
    <w:p w14:paraId="3A836E73" w14:textId="77777777" w:rsidR="00A75D5E" w:rsidRPr="007A39F7" w:rsidRDefault="00A75D5E" w:rsidP="00A75D5E">
      <w:pPr>
        <w:pStyle w:val="ListParagraph"/>
        <w:spacing w:line="360" w:lineRule="auto"/>
        <w:ind w:firstLine="720"/>
        <w:rPr>
          <w:sz w:val="24"/>
          <w:szCs w:val="24"/>
        </w:rPr>
      </w:pPr>
      <w:r w:rsidRPr="007A39F7">
        <w:rPr>
          <w:sz w:val="24"/>
          <w:szCs w:val="24"/>
        </w:rPr>
        <w:t>That the workplace is safe while giving sufficient instructions and competent staff to carry out the duties, and to warn employers of any dangers in the workplace properly. Failure to adequately adhere to statutory responsibilities may result in an action against an employer.</w:t>
      </w:r>
    </w:p>
    <w:p w14:paraId="5F31064B" w14:textId="77777777" w:rsidR="00A75D5E" w:rsidRPr="007A39F7" w:rsidRDefault="00A75D5E" w:rsidP="00A75D5E">
      <w:pPr>
        <w:pStyle w:val="ListParagraph"/>
        <w:spacing w:line="360" w:lineRule="auto"/>
        <w:ind w:firstLine="720"/>
        <w:rPr>
          <w:sz w:val="24"/>
          <w:szCs w:val="24"/>
        </w:rPr>
      </w:pPr>
      <w:r w:rsidRPr="007A39F7">
        <w:rPr>
          <w:sz w:val="24"/>
          <w:szCs w:val="24"/>
        </w:rPr>
        <w:t>The employer's duties to an employee include, but are not limited to:</w:t>
      </w:r>
    </w:p>
    <w:p w14:paraId="76CB6740" w14:textId="77777777" w:rsidR="00A75D5E" w:rsidRPr="007A39F7" w:rsidRDefault="00A75D5E" w:rsidP="00A75D5E">
      <w:pPr>
        <w:pStyle w:val="ListParagraph"/>
        <w:numPr>
          <w:ilvl w:val="0"/>
          <w:numId w:val="5"/>
        </w:numPr>
        <w:spacing w:line="360" w:lineRule="auto"/>
        <w:ind w:firstLine="720"/>
        <w:rPr>
          <w:sz w:val="24"/>
          <w:szCs w:val="24"/>
        </w:rPr>
      </w:pPr>
      <w:r w:rsidRPr="007A39F7">
        <w:rPr>
          <w:sz w:val="24"/>
          <w:szCs w:val="24"/>
        </w:rPr>
        <w:t>The duty to provide competent staff</w:t>
      </w:r>
    </w:p>
    <w:p w14:paraId="7444F3B0" w14:textId="77777777" w:rsidR="00A75D5E" w:rsidRPr="007A39F7" w:rsidRDefault="00A75D5E" w:rsidP="00A75D5E">
      <w:pPr>
        <w:pStyle w:val="ListParagraph"/>
        <w:numPr>
          <w:ilvl w:val="0"/>
          <w:numId w:val="5"/>
        </w:numPr>
        <w:spacing w:line="360" w:lineRule="auto"/>
        <w:ind w:firstLine="720"/>
        <w:rPr>
          <w:sz w:val="24"/>
          <w:szCs w:val="24"/>
        </w:rPr>
      </w:pPr>
      <w:r w:rsidRPr="007A39F7">
        <w:rPr>
          <w:sz w:val="24"/>
          <w:szCs w:val="24"/>
        </w:rPr>
        <w:t>The duty to provide a safe place to work</w:t>
      </w:r>
    </w:p>
    <w:p w14:paraId="1445A771" w14:textId="77777777" w:rsidR="00A75D5E" w:rsidRPr="007A39F7" w:rsidRDefault="00A75D5E" w:rsidP="00A75D5E">
      <w:pPr>
        <w:pStyle w:val="ListParagraph"/>
        <w:numPr>
          <w:ilvl w:val="0"/>
          <w:numId w:val="5"/>
        </w:numPr>
        <w:spacing w:line="360" w:lineRule="auto"/>
        <w:ind w:firstLine="720"/>
        <w:rPr>
          <w:sz w:val="24"/>
          <w:szCs w:val="24"/>
        </w:rPr>
      </w:pPr>
      <w:r w:rsidRPr="007A39F7">
        <w:rPr>
          <w:sz w:val="24"/>
          <w:szCs w:val="24"/>
        </w:rPr>
        <w:t>The duty to provide proper and adequate materials</w:t>
      </w:r>
    </w:p>
    <w:p w14:paraId="4F35614F" w14:textId="5F40B7CB" w:rsidR="00A75D5E" w:rsidRDefault="00A75D5E" w:rsidP="00A75D5E">
      <w:pPr>
        <w:pStyle w:val="ListParagraph"/>
        <w:numPr>
          <w:ilvl w:val="0"/>
          <w:numId w:val="5"/>
        </w:numPr>
        <w:spacing w:line="360" w:lineRule="auto"/>
        <w:ind w:firstLine="720"/>
        <w:rPr>
          <w:sz w:val="24"/>
          <w:szCs w:val="24"/>
        </w:rPr>
      </w:pPr>
      <w:r w:rsidRPr="007A39F7">
        <w:rPr>
          <w:sz w:val="24"/>
          <w:szCs w:val="24"/>
        </w:rPr>
        <w:t>The duty to provide a safe system of work and supervision.</w:t>
      </w:r>
    </w:p>
    <w:p w14:paraId="54CD7694" w14:textId="71B8CA67" w:rsidR="00B20E0F" w:rsidRDefault="00B20E0F" w:rsidP="00B20E0F">
      <w:pPr>
        <w:spacing w:line="360" w:lineRule="auto"/>
        <w:rPr>
          <w:sz w:val="24"/>
          <w:szCs w:val="24"/>
        </w:rPr>
      </w:pPr>
      <w:r>
        <w:rPr>
          <w:noProof/>
          <w:sz w:val="24"/>
          <w:szCs w:val="24"/>
        </w:rPr>
        <mc:AlternateContent>
          <mc:Choice Requires="wps">
            <w:drawing>
              <wp:anchor distT="0" distB="0" distL="114300" distR="114300" simplePos="0" relativeHeight="251660288" behindDoc="0" locked="0" layoutInCell="1" allowOverlap="1" wp14:anchorId="5939D07F" wp14:editId="422D6E75">
                <wp:simplePos x="0" y="0"/>
                <wp:positionH relativeFrom="column">
                  <wp:posOffset>-9525</wp:posOffset>
                </wp:positionH>
                <wp:positionV relativeFrom="paragraph">
                  <wp:posOffset>132715</wp:posOffset>
                </wp:positionV>
                <wp:extent cx="27432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743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3B688B4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5pt,10.45pt" to="215.2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" strokecolor="black [3040]"/>
            </w:pict>
          </mc:Fallback>
        </mc:AlternateContent>
      </w:r>
    </w:p>
    <w:p w14:paraId="63F34E9A" w14:textId="77777777" w:rsidR="00B20E0F" w:rsidRDefault="00B20E0F" w:rsidP="00B20E0F">
      <w:pPr>
        <w:pStyle w:val="FootnoteText"/>
      </w:pPr>
      <w:r>
        <w:rPr>
          <w:rStyle w:val="FootnoteReference"/>
        </w:rPr>
        <w:footnoteRef/>
      </w:r>
      <w:r>
        <w:t xml:space="preserve"> </w:t>
      </w:r>
      <w:r>
        <w:rPr>
          <w:rFonts w:ascii="Arial" w:hAnsi="Arial" w:cs="Arial"/>
          <w:i/>
          <w:iCs/>
          <w:color w:val="222222"/>
          <w:shd w:val="clear" w:color="auto" w:fill="FFFFFF"/>
        </w:rPr>
        <w:t>Donoghue v. Stevenson</w:t>
      </w:r>
      <w:r>
        <w:rPr>
          <w:rFonts w:ascii="Arial" w:hAnsi="Arial" w:cs="Arial"/>
          <w:color w:val="222222"/>
          <w:shd w:val="clear" w:color="auto" w:fill="FFFFFF"/>
        </w:rPr>
        <w:t>, 108 L.Q.R. 236, 108 Law Quarterly Review 236 (1992).</w:t>
      </w:r>
    </w:p>
    <w:p w14:paraId="7BAD2214" w14:textId="77777777" w:rsidR="00B20E0F" w:rsidRDefault="00B20E0F" w:rsidP="00B20E0F">
      <w:pPr>
        <w:spacing w:line="360" w:lineRule="auto"/>
        <w:rPr>
          <w:sz w:val="24"/>
          <w:szCs w:val="24"/>
        </w:rPr>
      </w:pPr>
    </w:p>
    <w:p w14:paraId="7FC7CEC7" w14:textId="65DBD1F0" w:rsidR="00B20E0F" w:rsidRPr="007A39F7" w:rsidRDefault="00B20E0F" w:rsidP="00B20E0F">
      <w:pPr>
        <w:spacing w:line="360" w:lineRule="auto"/>
        <w:rPr>
          <w:b/>
          <w:sz w:val="24"/>
          <w:szCs w:val="24"/>
        </w:rPr>
      </w:pPr>
      <w:r>
        <w:rPr>
          <w:sz w:val="24"/>
          <w:szCs w:val="24"/>
        </w:rPr>
        <w:lastRenderedPageBreak/>
        <w:t xml:space="preserve">                        </w:t>
      </w:r>
      <w:r w:rsidR="00A75D5E" w:rsidRPr="007A39F7">
        <w:rPr>
          <w:b/>
          <w:sz w:val="24"/>
          <w:szCs w:val="24"/>
        </w:rPr>
        <w:t>The duty to car</w:t>
      </w:r>
      <w:r>
        <w:rPr>
          <w:b/>
          <w:sz w:val="24"/>
          <w:szCs w:val="24"/>
        </w:rPr>
        <w:t>e</w:t>
      </w:r>
    </w:p>
    <w:p w14:paraId="14414A02" w14:textId="77777777" w:rsidR="00A75D5E" w:rsidRPr="007A39F7" w:rsidRDefault="00A75D5E" w:rsidP="00A75D5E">
      <w:pPr>
        <w:spacing w:line="360" w:lineRule="auto"/>
        <w:ind w:left="720" w:firstLine="720"/>
        <w:rPr>
          <w:sz w:val="24"/>
          <w:szCs w:val="24"/>
        </w:rPr>
      </w:pPr>
      <w:r w:rsidRPr="007A39F7">
        <w:rPr>
          <w:sz w:val="24"/>
          <w:szCs w:val="24"/>
        </w:rPr>
        <w:t>The obligation to take reasonable care to protect the employee against foreseeable injury arising out of the employment may appear as an implied term in the contract of employment or as a separate duty or occasionally as an express contractual term. The standard of care is reasonable care and does not amount to a guarantee of the employee's safety. Reasonable care varies from business to business.</w:t>
      </w:r>
    </w:p>
    <w:p w14:paraId="27C0ECC5" w14:textId="77777777" w:rsidR="00A75D5E" w:rsidRPr="007A39F7" w:rsidRDefault="00A75D5E" w:rsidP="00A75D5E">
      <w:pPr>
        <w:spacing w:line="360" w:lineRule="auto"/>
        <w:ind w:left="720" w:firstLine="720"/>
        <w:rPr>
          <w:b/>
          <w:sz w:val="24"/>
          <w:szCs w:val="24"/>
        </w:rPr>
      </w:pPr>
      <w:r w:rsidRPr="007A39F7">
        <w:rPr>
          <w:b/>
          <w:sz w:val="24"/>
          <w:szCs w:val="24"/>
        </w:rPr>
        <w:t>Actionable harm suffered</w:t>
      </w:r>
    </w:p>
    <w:p w14:paraId="2F480454" w14:textId="0FAEB137" w:rsidR="00A75D5E" w:rsidRPr="007A39F7" w:rsidRDefault="00A75D5E" w:rsidP="00A75D5E">
      <w:pPr>
        <w:spacing w:line="360" w:lineRule="auto"/>
        <w:ind w:left="720" w:firstLine="720"/>
        <w:rPr>
          <w:sz w:val="24"/>
          <w:szCs w:val="24"/>
        </w:rPr>
      </w:pPr>
      <w:r w:rsidRPr="007A39F7">
        <w:rPr>
          <w:sz w:val="24"/>
          <w:szCs w:val="24"/>
        </w:rPr>
        <w:t>The kind of harm to the particular employee must be reasonably foreseeable. The damage must be an injury to health which is attributable to stress at work. What the employer knows or ought to know is dependent on foreseeability about the individual employee. The indications of the harm that is impeding to health arising from stress at work must be plain enough for any reasonable employer to realize that he should do something about it</w:t>
      </w:r>
      <w:r w:rsidR="00B20E0F">
        <w:rPr>
          <w:sz w:val="24"/>
          <w:szCs w:val="24"/>
          <w:vertAlign w:val="superscript"/>
        </w:rPr>
        <w:t>23</w:t>
      </w:r>
      <w:r w:rsidRPr="007A39F7">
        <w:rPr>
          <w:sz w:val="24"/>
          <w:szCs w:val="24"/>
        </w:rPr>
        <w:t>. The employer is in breach of the duty of reasonable care if he has failed to take the steps which are reasonable in the circumstances, bearing in mind the magnitude of the risk of harm occurring and the gravity of the damage which may arise. The claimant must show that the breach of the duty of care caused or materially contributed to the damage suffered. From this, it is clear that the following must be in place:</w:t>
      </w:r>
    </w:p>
    <w:p w14:paraId="78DADE48" w14:textId="77777777" w:rsidR="00A75D5E" w:rsidRPr="007A39F7" w:rsidRDefault="00A75D5E" w:rsidP="00A75D5E">
      <w:pPr>
        <w:pStyle w:val="ListParagraph"/>
        <w:numPr>
          <w:ilvl w:val="0"/>
          <w:numId w:val="6"/>
        </w:numPr>
        <w:spacing w:line="360" w:lineRule="auto"/>
        <w:ind w:firstLine="720"/>
        <w:rPr>
          <w:sz w:val="24"/>
          <w:szCs w:val="24"/>
        </w:rPr>
      </w:pPr>
      <w:r w:rsidRPr="007A39F7">
        <w:rPr>
          <w:sz w:val="24"/>
          <w:szCs w:val="24"/>
        </w:rPr>
        <w:t>A duty of care</w:t>
      </w:r>
    </w:p>
    <w:p w14:paraId="7F8E7334" w14:textId="77777777" w:rsidR="00A75D5E" w:rsidRPr="007A39F7" w:rsidRDefault="00A75D5E" w:rsidP="00A75D5E">
      <w:pPr>
        <w:pStyle w:val="ListParagraph"/>
        <w:numPr>
          <w:ilvl w:val="0"/>
          <w:numId w:val="6"/>
        </w:numPr>
        <w:spacing w:line="360" w:lineRule="auto"/>
        <w:ind w:firstLine="720"/>
        <w:rPr>
          <w:sz w:val="24"/>
          <w:szCs w:val="24"/>
        </w:rPr>
      </w:pPr>
      <w:r w:rsidRPr="007A39F7">
        <w:rPr>
          <w:sz w:val="24"/>
          <w:szCs w:val="24"/>
        </w:rPr>
        <w:t xml:space="preserve"> The harm was foreseeable</w:t>
      </w:r>
    </w:p>
    <w:p w14:paraId="16E68642" w14:textId="77777777" w:rsidR="00A75D5E" w:rsidRPr="007A39F7" w:rsidRDefault="00A75D5E" w:rsidP="00A75D5E">
      <w:pPr>
        <w:pStyle w:val="ListParagraph"/>
        <w:numPr>
          <w:ilvl w:val="0"/>
          <w:numId w:val="6"/>
        </w:numPr>
        <w:spacing w:line="360" w:lineRule="auto"/>
        <w:ind w:firstLine="720"/>
        <w:rPr>
          <w:sz w:val="24"/>
          <w:szCs w:val="24"/>
        </w:rPr>
      </w:pPr>
      <w:r w:rsidRPr="007A39F7">
        <w:rPr>
          <w:sz w:val="24"/>
          <w:szCs w:val="24"/>
        </w:rPr>
        <w:t>The accident caused the injury</w:t>
      </w:r>
    </w:p>
    <w:p w14:paraId="24B948E7" w14:textId="77777777" w:rsidR="00A75D5E" w:rsidRPr="007A39F7" w:rsidRDefault="00A75D5E" w:rsidP="00A75D5E">
      <w:pPr>
        <w:pStyle w:val="ListParagraph"/>
        <w:numPr>
          <w:ilvl w:val="0"/>
          <w:numId w:val="6"/>
        </w:numPr>
        <w:spacing w:line="360" w:lineRule="auto"/>
        <w:ind w:firstLine="720"/>
        <w:rPr>
          <w:sz w:val="24"/>
          <w:szCs w:val="24"/>
        </w:rPr>
      </w:pPr>
      <w:r w:rsidRPr="007A39F7">
        <w:rPr>
          <w:sz w:val="24"/>
          <w:szCs w:val="24"/>
        </w:rPr>
        <w:t>The cost was a consequence of stress at work.</w:t>
      </w:r>
    </w:p>
    <w:p w14:paraId="732E7EDC" w14:textId="77777777" w:rsidR="00A75D5E" w:rsidRPr="007A39F7" w:rsidRDefault="00A75D5E" w:rsidP="00A75D5E">
      <w:pPr>
        <w:spacing w:line="360" w:lineRule="auto"/>
        <w:ind w:left="720" w:firstLine="720"/>
        <w:rPr>
          <w:b/>
          <w:sz w:val="24"/>
          <w:szCs w:val="24"/>
        </w:rPr>
      </w:pPr>
      <w:r w:rsidRPr="007A39F7">
        <w:rPr>
          <w:b/>
          <w:sz w:val="24"/>
          <w:szCs w:val="24"/>
        </w:rPr>
        <w:t>Scenario analysis</w:t>
      </w:r>
    </w:p>
    <w:p w14:paraId="4ACF31AE" w14:textId="464F2739" w:rsidR="00A75D5E" w:rsidRDefault="00A75D5E" w:rsidP="00B20E0F">
      <w:pPr>
        <w:spacing w:line="360" w:lineRule="auto"/>
        <w:ind w:left="720" w:firstLine="720"/>
        <w:rPr>
          <w:sz w:val="24"/>
          <w:szCs w:val="24"/>
        </w:rPr>
      </w:pPr>
      <w:r w:rsidRPr="007A39F7">
        <w:rPr>
          <w:sz w:val="24"/>
          <w:szCs w:val="24"/>
        </w:rPr>
        <w:t>Did Dr Grime suffer actionable harm?</w:t>
      </w:r>
    </w:p>
    <w:p w14:paraId="1260A045" w14:textId="6DC90267" w:rsidR="00A75D5E" w:rsidRPr="007A39F7" w:rsidRDefault="00A75D5E" w:rsidP="00A75D5E">
      <w:pPr>
        <w:spacing w:line="360" w:lineRule="auto"/>
        <w:ind w:left="720" w:firstLine="720"/>
        <w:rPr>
          <w:b/>
          <w:i/>
          <w:sz w:val="24"/>
          <w:szCs w:val="24"/>
        </w:rPr>
      </w:pPr>
      <w:r w:rsidRPr="007A39F7">
        <w:rPr>
          <w:sz w:val="24"/>
          <w:szCs w:val="24"/>
        </w:rPr>
        <w:t xml:space="preserve">Yes.  He is an employee of the hospital. It is because he works for the hospital. The harm was actionable since it is an injury to his health brought about while at his workplace. Further, his employer’s, the line manager </w:t>
      </w:r>
      <w:proofErr w:type="gramStart"/>
      <w:r w:rsidRPr="007A39F7">
        <w:rPr>
          <w:sz w:val="24"/>
          <w:szCs w:val="24"/>
        </w:rPr>
        <w:t>know</w:t>
      </w:r>
      <w:proofErr w:type="gramEnd"/>
      <w:r w:rsidRPr="007A39F7">
        <w:rPr>
          <w:sz w:val="24"/>
          <w:szCs w:val="24"/>
        </w:rPr>
        <w:t xml:space="preserve"> of his health </w:t>
      </w:r>
      <w:r w:rsidRPr="007A39F7">
        <w:rPr>
          <w:sz w:val="24"/>
          <w:szCs w:val="24"/>
        </w:rPr>
        <w:lastRenderedPageBreak/>
        <w:t xml:space="preserve">condition and so do the other workers. The employer breaches the duty of care by promising to refer him to a counsellor and the hospital's occupational health department but fail to do so. This is as was addressed in </w:t>
      </w:r>
      <w:r w:rsidRPr="006C4FF0">
        <w:rPr>
          <w:bCs/>
          <w:iCs/>
          <w:sz w:val="24"/>
          <w:szCs w:val="24"/>
        </w:rPr>
        <w:t xml:space="preserve">Berber v </w:t>
      </w:r>
      <w:proofErr w:type="spellStart"/>
      <w:r w:rsidRPr="006C4FF0">
        <w:rPr>
          <w:bCs/>
          <w:iCs/>
          <w:sz w:val="24"/>
          <w:szCs w:val="24"/>
        </w:rPr>
        <w:t>Dunnes</w:t>
      </w:r>
      <w:proofErr w:type="spellEnd"/>
      <w:r w:rsidRPr="006C4FF0">
        <w:rPr>
          <w:bCs/>
          <w:iCs/>
          <w:sz w:val="24"/>
          <w:szCs w:val="24"/>
        </w:rPr>
        <w:t xml:space="preserve"> Stores Ltd and Hatton v Sunderland</w:t>
      </w:r>
      <w:r w:rsidR="006C4FF0" w:rsidRPr="006C4FF0">
        <w:rPr>
          <w:bCs/>
          <w:iCs/>
          <w:sz w:val="24"/>
          <w:szCs w:val="24"/>
          <w:vertAlign w:val="superscript"/>
        </w:rPr>
        <w:t>7</w:t>
      </w:r>
      <w:r w:rsidRPr="007A39F7">
        <w:rPr>
          <w:b/>
          <w:i/>
          <w:sz w:val="24"/>
          <w:szCs w:val="24"/>
        </w:rPr>
        <w:t>.</w:t>
      </w:r>
    </w:p>
    <w:p w14:paraId="1FF1413F" w14:textId="77777777" w:rsidR="00A75D5E" w:rsidRPr="007A39F7" w:rsidRDefault="00A75D5E" w:rsidP="00A75D5E">
      <w:pPr>
        <w:spacing w:line="360" w:lineRule="auto"/>
        <w:ind w:left="720" w:firstLine="720"/>
        <w:rPr>
          <w:sz w:val="24"/>
          <w:szCs w:val="24"/>
        </w:rPr>
      </w:pPr>
      <w:r w:rsidRPr="007A39F7">
        <w:rPr>
          <w:sz w:val="24"/>
          <w:szCs w:val="24"/>
        </w:rPr>
        <w:t xml:space="preserve">Did </w:t>
      </w:r>
      <w:proofErr w:type="spellStart"/>
      <w:r w:rsidRPr="007A39F7">
        <w:rPr>
          <w:sz w:val="24"/>
          <w:szCs w:val="24"/>
        </w:rPr>
        <w:t>Anyshire</w:t>
      </w:r>
      <w:proofErr w:type="spellEnd"/>
      <w:r w:rsidRPr="007A39F7">
        <w:rPr>
          <w:sz w:val="24"/>
          <w:szCs w:val="24"/>
        </w:rPr>
        <w:t xml:space="preserve"> NHS Hospital Trust owe a duty of care to Dr Grime?</w:t>
      </w:r>
    </w:p>
    <w:p w14:paraId="0560E0FC" w14:textId="75F476CB" w:rsidR="00A75D5E" w:rsidRPr="007A39F7" w:rsidRDefault="00A75D5E" w:rsidP="00A75D5E">
      <w:pPr>
        <w:spacing w:line="360" w:lineRule="auto"/>
        <w:ind w:left="720" w:firstLine="720"/>
        <w:rPr>
          <w:sz w:val="24"/>
          <w:szCs w:val="24"/>
        </w:rPr>
      </w:pPr>
      <w:r w:rsidRPr="007A39F7">
        <w:rPr>
          <w:sz w:val="24"/>
          <w:szCs w:val="24"/>
        </w:rPr>
        <w:t xml:space="preserve">Yes. He is an employee of the hospital. His employer owes each employee a duty of care. The hospital failed to take reasonable steps to ensure the doctor's health was in place. This is as was held in </w:t>
      </w:r>
      <w:r w:rsidRPr="006C4FF0">
        <w:rPr>
          <w:bCs/>
          <w:iCs/>
          <w:sz w:val="24"/>
          <w:szCs w:val="24"/>
        </w:rPr>
        <w:t xml:space="preserve">Boniface </w:t>
      </w:r>
      <w:proofErr w:type="spellStart"/>
      <w:r w:rsidRPr="006C4FF0">
        <w:rPr>
          <w:bCs/>
          <w:iCs/>
          <w:sz w:val="24"/>
          <w:szCs w:val="24"/>
        </w:rPr>
        <w:t>Mutama</w:t>
      </w:r>
      <w:proofErr w:type="spellEnd"/>
      <w:r w:rsidRPr="006C4FF0">
        <w:rPr>
          <w:bCs/>
          <w:iCs/>
          <w:sz w:val="24"/>
          <w:szCs w:val="24"/>
        </w:rPr>
        <w:t xml:space="preserve"> </w:t>
      </w:r>
      <w:proofErr w:type="spellStart"/>
      <w:r w:rsidRPr="006C4FF0">
        <w:rPr>
          <w:bCs/>
          <w:iCs/>
          <w:sz w:val="24"/>
          <w:szCs w:val="24"/>
        </w:rPr>
        <w:t>Karita</w:t>
      </w:r>
      <w:proofErr w:type="spellEnd"/>
      <w:r w:rsidRPr="006C4FF0">
        <w:rPr>
          <w:bCs/>
          <w:iCs/>
          <w:sz w:val="24"/>
          <w:szCs w:val="24"/>
        </w:rPr>
        <w:t xml:space="preserve"> v Carton Manufacturer Ltd</w:t>
      </w:r>
      <w:r w:rsidRPr="007A39F7">
        <w:rPr>
          <w:sz w:val="24"/>
          <w:szCs w:val="24"/>
        </w:rPr>
        <w:t xml:space="preserve"> where it was stated that an employer is expected to take all reasonable precautions for the safety of its employees.</w:t>
      </w:r>
    </w:p>
    <w:p w14:paraId="70A3E7E1" w14:textId="2ED040FB" w:rsidR="00A75D5E" w:rsidRPr="007A39F7" w:rsidRDefault="006C4FF0" w:rsidP="006C4FF0">
      <w:pPr>
        <w:spacing w:line="360" w:lineRule="auto"/>
        <w:ind w:left="720"/>
        <w:rPr>
          <w:sz w:val="24"/>
          <w:szCs w:val="24"/>
        </w:rPr>
      </w:pPr>
      <w:r>
        <w:rPr>
          <w:sz w:val="24"/>
          <w:szCs w:val="24"/>
        </w:rPr>
        <w:t xml:space="preserve">    </w:t>
      </w:r>
      <w:r w:rsidR="00A75D5E" w:rsidRPr="007A39F7">
        <w:rPr>
          <w:sz w:val="24"/>
          <w:szCs w:val="24"/>
        </w:rPr>
        <w:t xml:space="preserve">Also, the harm was foreseeable since they knew that any overload of work would lead to his illness as was seen in the case </w:t>
      </w:r>
      <w:r w:rsidR="00A75D5E" w:rsidRPr="006C4FF0">
        <w:rPr>
          <w:sz w:val="24"/>
          <w:szCs w:val="24"/>
        </w:rPr>
        <w:t>of Bradford v Robinsons Rental CO. Ltd</w:t>
      </w:r>
      <w:r w:rsidR="00A75D5E" w:rsidRPr="007A39F7">
        <w:rPr>
          <w:b/>
          <w:i/>
          <w:sz w:val="24"/>
          <w:szCs w:val="24"/>
        </w:rPr>
        <w:t xml:space="preserve"> </w:t>
      </w:r>
      <w:r w:rsidR="00A75D5E" w:rsidRPr="007A39F7">
        <w:rPr>
          <w:sz w:val="24"/>
          <w:szCs w:val="24"/>
        </w:rPr>
        <w:t>where the plaintiff was exposed to harsh working conditions of frost and fatigue</w:t>
      </w:r>
      <w:r>
        <w:rPr>
          <w:sz w:val="24"/>
          <w:szCs w:val="24"/>
          <w:vertAlign w:val="superscript"/>
        </w:rPr>
        <w:t>5</w:t>
      </w:r>
      <w:r w:rsidR="00A75D5E" w:rsidRPr="007A39F7">
        <w:rPr>
          <w:sz w:val="24"/>
          <w:szCs w:val="24"/>
        </w:rPr>
        <w:t>.</w:t>
      </w:r>
    </w:p>
    <w:p w14:paraId="5B0395C0" w14:textId="77777777" w:rsidR="00A75D5E" w:rsidRPr="007A39F7" w:rsidRDefault="00A75D5E" w:rsidP="00A75D5E">
      <w:pPr>
        <w:spacing w:line="360" w:lineRule="auto"/>
        <w:ind w:left="720" w:firstLine="720"/>
        <w:rPr>
          <w:sz w:val="24"/>
          <w:szCs w:val="24"/>
        </w:rPr>
      </w:pPr>
      <w:r w:rsidRPr="007A39F7">
        <w:rPr>
          <w:sz w:val="24"/>
          <w:szCs w:val="24"/>
        </w:rPr>
        <w:t xml:space="preserve">Also, </w:t>
      </w:r>
      <w:r w:rsidRPr="006C4FF0">
        <w:rPr>
          <w:sz w:val="24"/>
          <w:szCs w:val="24"/>
        </w:rPr>
        <w:t>the Work Injuries Benefits Act</w:t>
      </w:r>
      <w:r w:rsidRPr="007A39F7">
        <w:rPr>
          <w:b/>
          <w:i/>
          <w:sz w:val="24"/>
          <w:szCs w:val="24"/>
        </w:rPr>
        <w:t xml:space="preserve"> </w:t>
      </w:r>
      <w:r w:rsidRPr="007A39F7">
        <w:rPr>
          <w:sz w:val="24"/>
          <w:szCs w:val="24"/>
        </w:rPr>
        <w:t>provides that he is entitled to compensation since the harm comes about when he is in the course of his duty.</w:t>
      </w:r>
    </w:p>
    <w:p w14:paraId="7E007FA3" w14:textId="77777777" w:rsidR="00B20E0F" w:rsidRDefault="00A75D5E" w:rsidP="00B20E0F">
      <w:pPr>
        <w:spacing w:line="360" w:lineRule="auto"/>
        <w:ind w:left="720" w:firstLine="720"/>
        <w:rPr>
          <w:sz w:val="24"/>
          <w:szCs w:val="24"/>
        </w:rPr>
      </w:pPr>
      <w:r w:rsidRPr="007A39F7">
        <w:rPr>
          <w:sz w:val="24"/>
          <w:szCs w:val="24"/>
        </w:rPr>
        <w:t xml:space="preserve">The psychiatric injury suffered id reasonably foreseeable as was held in </w:t>
      </w:r>
      <w:r w:rsidRPr="006C4FF0">
        <w:rPr>
          <w:bCs/>
          <w:iCs/>
          <w:sz w:val="24"/>
          <w:szCs w:val="24"/>
        </w:rPr>
        <w:t>Koehler v Cerebos Australia Ltd</w:t>
      </w:r>
      <w:r w:rsidRPr="007A39F7">
        <w:rPr>
          <w:b/>
          <w:i/>
          <w:sz w:val="24"/>
          <w:szCs w:val="24"/>
        </w:rPr>
        <w:t>.</w:t>
      </w:r>
      <w:r w:rsidRPr="007A39F7">
        <w:rPr>
          <w:sz w:val="24"/>
          <w:szCs w:val="24"/>
        </w:rPr>
        <w:t xml:space="preserve"> This is because the employer was negligent, leading to the breach causing the harm. The manager had been informed of Dr Grimes health condition but did not work on it. </w:t>
      </w:r>
    </w:p>
    <w:p w14:paraId="71647C35" w14:textId="205BD4D4" w:rsidR="00A75D5E" w:rsidRPr="00B20E0F" w:rsidRDefault="00A75D5E" w:rsidP="00B20E0F">
      <w:pPr>
        <w:spacing w:line="360" w:lineRule="auto"/>
        <w:ind w:left="720" w:firstLine="720"/>
        <w:rPr>
          <w:sz w:val="24"/>
          <w:szCs w:val="24"/>
        </w:rPr>
      </w:pPr>
      <w:r w:rsidRPr="007A39F7">
        <w:rPr>
          <w:b/>
          <w:sz w:val="24"/>
          <w:szCs w:val="24"/>
        </w:rPr>
        <w:t>CONCLUSION</w:t>
      </w:r>
    </w:p>
    <w:p w14:paraId="36FDF883" w14:textId="1C0AE20E" w:rsidR="00A75D5E" w:rsidRDefault="00A75D5E" w:rsidP="00A75D5E">
      <w:pPr>
        <w:spacing w:line="360" w:lineRule="auto"/>
        <w:ind w:left="720" w:firstLine="720"/>
        <w:rPr>
          <w:sz w:val="24"/>
          <w:szCs w:val="24"/>
        </w:rPr>
      </w:pPr>
      <w:r w:rsidRPr="007A39F7">
        <w:rPr>
          <w:sz w:val="24"/>
          <w:szCs w:val="24"/>
        </w:rPr>
        <w:t>From the preceding, it is clear that the employer was negligent leading to the breach; hence the psychiatric harm suffered by Dr Grimes. The damage could be prevented if there was reasonable care, that is no overwork. Also, the hospital would have put in place measures to avoid the risk of injury from occurring.</w:t>
      </w:r>
    </w:p>
    <w:p w14:paraId="688EE1D7" w14:textId="5A7C2D5E" w:rsidR="00B20E0F" w:rsidRDefault="00B20E0F" w:rsidP="00257E3E">
      <w:pPr>
        <w:spacing w:line="360" w:lineRule="auto"/>
        <w:rPr>
          <w:sz w:val="24"/>
          <w:szCs w:val="24"/>
        </w:rPr>
      </w:pPr>
      <w:r>
        <w:rPr>
          <w:noProof/>
          <w:sz w:val="24"/>
          <w:szCs w:val="24"/>
        </w:rPr>
        <mc:AlternateContent>
          <mc:Choice Requires="wps">
            <w:drawing>
              <wp:anchor distT="0" distB="0" distL="114300" distR="114300" simplePos="0" relativeHeight="251661312" behindDoc="0" locked="0" layoutInCell="1" allowOverlap="1" wp14:anchorId="68E55B7E" wp14:editId="5DF610F4">
                <wp:simplePos x="0" y="0"/>
                <wp:positionH relativeFrom="column">
                  <wp:posOffset>800100</wp:posOffset>
                </wp:positionH>
                <wp:positionV relativeFrom="paragraph">
                  <wp:posOffset>220979</wp:posOffset>
                </wp:positionV>
                <wp:extent cx="2867025" cy="0"/>
                <wp:effectExtent l="0" t="0" r="0" b="0"/>
                <wp:wrapNone/>
                <wp:docPr id="4" name="Straight Connector 4"/>
                <wp:cNvGraphicFramePr/>
                <a:graphic xmlns:a="http://schemas.openxmlformats.org/drawingml/2006/main">
                  <a:graphicData uri="http://schemas.microsoft.com/office/word/2010/wordprocessingShape">
                    <wps:wsp>
                      <wps:cNvCnPr/>
                      <wps:spPr>
                        <a:xfrm flipV="1">
                          <a:off x="0" y="0"/>
                          <a:ext cx="2867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4DB9A343" id="Straight Connector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17.4pt" to="288.7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" strokecolor="black [3040]"/>
            </w:pict>
          </mc:Fallback>
        </mc:AlternateContent>
      </w:r>
    </w:p>
    <w:p w14:paraId="65E1C550" w14:textId="536E23ED" w:rsidR="00B20E0F" w:rsidRPr="00257E3E" w:rsidRDefault="006C4FF0" w:rsidP="00B20E0F">
      <w:pPr>
        <w:spacing w:line="360" w:lineRule="auto"/>
        <w:ind w:left="720" w:firstLine="720"/>
        <w:rPr>
          <w:bCs/>
          <w:iCs/>
          <w:sz w:val="24"/>
          <w:szCs w:val="24"/>
        </w:rPr>
      </w:pPr>
      <w:r>
        <w:rPr>
          <w:bCs/>
          <w:iCs/>
          <w:sz w:val="24"/>
          <w:szCs w:val="24"/>
          <w:vertAlign w:val="superscript"/>
        </w:rPr>
        <w:t>7</w:t>
      </w:r>
      <w:r w:rsidR="00B20E0F" w:rsidRPr="00257E3E">
        <w:rPr>
          <w:bCs/>
          <w:iCs/>
          <w:sz w:val="24"/>
          <w:szCs w:val="24"/>
        </w:rPr>
        <w:t xml:space="preserve">Berber v </w:t>
      </w:r>
      <w:proofErr w:type="spellStart"/>
      <w:r w:rsidR="00B20E0F" w:rsidRPr="00257E3E">
        <w:rPr>
          <w:bCs/>
          <w:iCs/>
          <w:sz w:val="24"/>
          <w:szCs w:val="24"/>
        </w:rPr>
        <w:t>Dunnes</w:t>
      </w:r>
      <w:proofErr w:type="spellEnd"/>
      <w:r w:rsidR="00B20E0F" w:rsidRPr="00257E3E">
        <w:rPr>
          <w:bCs/>
          <w:iCs/>
          <w:sz w:val="24"/>
          <w:szCs w:val="24"/>
        </w:rPr>
        <w:t>, Hatton v Sunderland</w:t>
      </w:r>
      <w:r w:rsidR="00257E3E">
        <w:rPr>
          <w:bCs/>
          <w:iCs/>
          <w:sz w:val="24"/>
          <w:szCs w:val="24"/>
        </w:rPr>
        <w:t xml:space="preserve"> the health rights   June 2018.</w:t>
      </w:r>
    </w:p>
    <w:p w14:paraId="336A2EB9" w14:textId="5612C319" w:rsidR="00257E3E" w:rsidRPr="00257E3E" w:rsidRDefault="006C4FF0" w:rsidP="00B20E0F">
      <w:pPr>
        <w:spacing w:line="360" w:lineRule="auto"/>
        <w:ind w:left="720" w:firstLine="720"/>
        <w:rPr>
          <w:bCs/>
          <w:iCs/>
          <w:sz w:val="24"/>
          <w:szCs w:val="24"/>
        </w:rPr>
      </w:pPr>
      <w:r>
        <w:rPr>
          <w:bCs/>
          <w:iCs/>
          <w:sz w:val="24"/>
          <w:szCs w:val="24"/>
          <w:vertAlign w:val="superscript"/>
        </w:rPr>
        <w:t>5</w:t>
      </w:r>
      <w:r w:rsidR="00257E3E" w:rsidRPr="00257E3E">
        <w:rPr>
          <w:bCs/>
          <w:iCs/>
          <w:sz w:val="24"/>
          <w:szCs w:val="24"/>
        </w:rPr>
        <w:t>Bradford v Robinsons</w:t>
      </w:r>
      <w:r w:rsidR="00257E3E">
        <w:rPr>
          <w:bCs/>
          <w:iCs/>
          <w:sz w:val="24"/>
          <w:szCs w:val="24"/>
        </w:rPr>
        <w:t xml:space="preserve"> work</w:t>
      </w:r>
      <w:r>
        <w:rPr>
          <w:bCs/>
          <w:iCs/>
          <w:sz w:val="24"/>
          <w:szCs w:val="24"/>
        </w:rPr>
        <w:t xml:space="preserve"> </w:t>
      </w:r>
      <w:r w:rsidR="00257E3E">
        <w:rPr>
          <w:bCs/>
          <w:iCs/>
          <w:sz w:val="24"/>
          <w:szCs w:val="24"/>
        </w:rPr>
        <w:t>conditions of employee. Retrieved 7 may 2019</w:t>
      </w:r>
    </w:p>
    <w:p w14:paraId="43200AFD" w14:textId="1D759887" w:rsidR="00A75D5E" w:rsidRPr="007A39F7" w:rsidRDefault="00A75D5E" w:rsidP="00A75D5E">
      <w:pPr>
        <w:spacing w:line="360" w:lineRule="auto"/>
        <w:rPr>
          <w:sz w:val="24"/>
          <w:szCs w:val="24"/>
        </w:rPr>
      </w:pPr>
      <w:r>
        <w:rPr>
          <w:sz w:val="24"/>
          <w:szCs w:val="24"/>
        </w:rPr>
        <w:lastRenderedPageBreak/>
        <w:t xml:space="preserve">                                                         </w:t>
      </w:r>
      <w:r w:rsidRPr="007A39F7">
        <w:rPr>
          <w:sz w:val="24"/>
          <w:szCs w:val="24"/>
        </w:rPr>
        <w:t xml:space="preserve">    Bibliography </w:t>
      </w:r>
    </w:p>
    <w:p w14:paraId="3F5251AB" w14:textId="77777777" w:rsidR="00A75D5E" w:rsidRDefault="00A75D5E" w:rsidP="00A75D5E">
      <w:pPr>
        <w:spacing w:line="360" w:lineRule="auto"/>
        <w:rPr>
          <w:sz w:val="24"/>
          <w:szCs w:val="24"/>
        </w:rPr>
      </w:pPr>
      <w:r w:rsidRPr="007A39F7">
        <w:rPr>
          <w:sz w:val="24"/>
          <w:szCs w:val="24"/>
        </w:rPr>
        <w:t>Cases</w:t>
      </w:r>
    </w:p>
    <w:p w14:paraId="38FBF68A" w14:textId="77777777" w:rsidR="00257E3E" w:rsidRDefault="00257E3E" w:rsidP="00257E3E">
      <w:pPr>
        <w:spacing w:line="360" w:lineRule="auto"/>
        <w:rPr>
          <w:bCs/>
          <w:iCs/>
          <w:sz w:val="24"/>
          <w:szCs w:val="24"/>
        </w:rPr>
      </w:pPr>
      <w:proofErr w:type="spellStart"/>
      <w:r w:rsidRPr="00B20E0F">
        <w:rPr>
          <w:bCs/>
          <w:iCs/>
          <w:sz w:val="24"/>
          <w:szCs w:val="24"/>
        </w:rPr>
        <w:t>Anyah</w:t>
      </w:r>
      <w:proofErr w:type="spellEnd"/>
      <w:r w:rsidRPr="00B20E0F">
        <w:rPr>
          <w:bCs/>
          <w:iCs/>
          <w:sz w:val="24"/>
          <w:szCs w:val="24"/>
        </w:rPr>
        <w:t xml:space="preserve"> v Imo obligation and duty, transcript of hearing 10</w:t>
      </w:r>
      <w:r w:rsidRPr="00B20E0F">
        <w:rPr>
          <w:bCs/>
          <w:iCs/>
          <w:sz w:val="24"/>
          <w:szCs w:val="24"/>
          <w:vertAlign w:val="superscript"/>
        </w:rPr>
        <w:t>th</w:t>
      </w:r>
      <w:r w:rsidRPr="00B20E0F">
        <w:rPr>
          <w:bCs/>
          <w:iCs/>
          <w:sz w:val="24"/>
          <w:szCs w:val="24"/>
        </w:rPr>
        <w:t xml:space="preserve"> February 2017 page 5</w:t>
      </w:r>
    </w:p>
    <w:p w14:paraId="2018C3EB" w14:textId="77777777" w:rsidR="00257E3E" w:rsidRPr="00257E3E" w:rsidRDefault="00257E3E" w:rsidP="00257E3E">
      <w:pPr>
        <w:spacing w:line="360" w:lineRule="auto"/>
        <w:rPr>
          <w:bCs/>
          <w:iCs/>
          <w:sz w:val="24"/>
          <w:szCs w:val="24"/>
        </w:rPr>
      </w:pPr>
      <w:r w:rsidRPr="00257E3E">
        <w:rPr>
          <w:bCs/>
          <w:iCs/>
          <w:sz w:val="24"/>
          <w:szCs w:val="24"/>
        </w:rPr>
        <w:t xml:space="preserve">Berber v </w:t>
      </w:r>
      <w:proofErr w:type="spellStart"/>
      <w:r w:rsidRPr="00257E3E">
        <w:rPr>
          <w:bCs/>
          <w:iCs/>
          <w:sz w:val="24"/>
          <w:szCs w:val="24"/>
        </w:rPr>
        <w:t>Dunnes</w:t>
      </w:r>
      <w:proofErr w:type="spellEnd"/>
      <w:r w:rsidRPr="00257E3E">
        <w:rPr>
          <w:bCs/>
          <w:iCs/>
          <w:sz w:val="24"/>
          <w:szCs w:val="24"/>
        </w:rPr>
        <w:t>, Hatton v Sunderland</w:t>
      </w:r>
      <w:r>
        <w:rPr>
          <w:bCs/>
          <w:iCs/>
          <w:sz w:val="24"/>
          <w:szCs w:val="24"/>
        </w:rPr>
        <w:t xml:space="preserve"> the health rights   June 2018.</w:t>
      </w:r>
    </w:p>
    <w:p w14:paraId="12548103" w14:textId="77777777" w:rsidR="00257E3E" w:rsidRPr="00B20E0F" w:rsidRDefault="00257E3E" w:rsidP="00257E3E">
      <w:pPr>
        <w:spacing w:line="360" w:lineRule="auto"/>
        <w:rPr>
          <w:bCs/>
          <w:iCs/>
          <w:sz w:val="24"/>
          <w:szCs w:val="24"/>
        </w:rPr>
      </w:pPr>
      <w:proofErr w:type="spellStart"/>
      <w:r w:rsidRPr="00B20E0F">
        <w:rPr>
          <w:bCs/>
          <w:iCs/>
          <w:sz w:val="24"/>
          <w:szCs w:val="24"/>
        </w:rPr>
        <w:t>Bolam</w:t>
      </w:r>
      <w:proofErr w:type="spellEnd"/>
      <w:r w:rsidRPr="00B20E0F">
        <w:rPr>
          <w:bCs/>
          <w:iCs/>
          <w:sz w:val="24"/>
          <w:szCs w:val="24"/>
        </w:rPr>
        <w:t xml:space="preserve"> v Friern hospital law, (published 2010) DCB 27</w:t>
      </w:r>
      <w:r w:rsidRPr="00B20E0F">
        <w:rPr>
          <w:bCs/>
          <w:iCs/>
          <w:sz w:val="24"/>
          <w:szCs w:val="24"/>
          <w:vertAlign w:val="superscript"/>
        </w:rPr>
        <w:t>th</w:t>
      </w:r>
      <w:r w:rsidRPr="00B20E0F">
        <w:rPr>
          <w:bCs/>
          <w:iCs/>
          <w:sz w:val="24"/>
          <w:szCs w:val="24"/>
        </w:rPr>
        <w:t xml:space="preserve"> January 2009 vol 373, col 740</w:t>
      </w:r>
    </w:p>
    <w:p w14:paraId="6CC139B4" w14:textId="77777777" w:rsidR="00257E3E" w:rsidRPr="00257E3E" w:rsidRDefault="00257E3E" w:rsidP="00257E3E">
      <w:pPr>
        <w:spacing w:line="360" w:lineRule="auto"/>
        <w:rPr>
          <w:bCs/>
          <w:iCs/>
          <w:sz w:val="24"/>
          <w:szCs w:val="24"/>
        </w:rPr>
      </w:pPr>
      <w:r w:rsidRPr="00257E3E">
        <w:rPr>
          <w:bCs/>
          <w:iCs/>
          <w:sz w:val="24"/>
          <w:szCs w:val="24"/>
        </w:rPr>
        <w:t>Bradford v Robinsons</w:t>
      </w:r>
      <w:r>
        <w:rPr>
          <w:bCs/>
          <w:iCs/>
          <w:sz w:val="24"/>
          <w:szCs w:val="24"/>
        </w:rPr>
        <w:t xml:space="preserve"> working conditions of employee. Retrieved 7 may 2019</w:t>
      </w:r>
    </w:p>
    <w:p w14:paraId="5413EB15" w14:textId="3DE1E75C" w:rsidR="00A75D5E" w:rsidRPr="007A39F7" w:rsidRDefault="00A75D5E" w:rsidP="00A75D5E">
      <w:pPr>
        <w:spacing w:line="360" w:lineRule="auto"/>
        <w:rPr>
          <w:sz w:val="24"/>
          <w:szCs w:val="24"/>
        </w:rPr>
      </w:pPr>
      <w:r>
        <w:rPr>
          <w:rFonts w:ascii="Arial" w:hAnsi="Arial" w:cs="Arial"/>
          <w:i/>
          <w:iCs/>
          <w:color w:val="222222"/>
          <w:sz w:val="20"/>
          <w:szCs w:val="20"/>
          <w:shd w:val="clear" w:color="auto" w:fill="FFFFFF"/>
        </w:rPr>
        <w:t>Donoghue v. Stevenson</w:t>
      </w:r>
      <w:r>
        <w:rPr>
          <w:rFonts w:ascii="Arial" w:hAnsi="Arial" w:cs="Arial"/>
          <w:color w:val="222222"/>
          <w:sz w:val="20"/>
          <w:szCs w:val="20"/>
          <w:shd w:val="clear" w:color="auto" w:fill="FFFFFF"/>
        </w:rPr>
        <w:t>, 108 L.Q.R. 236, 108 Law Quarterly Review 236 (1992).</w:t>
      </w:r>
    </w:p>
    <w:p w14:paraId="232CD6D6" w14:textId="77777777" w:rsidR="00257E3E" w:rsidRPr="00B20E0F" w:rsidRDefault="00257E3E" w:rsidP="00257E3E">
      <w:pPr>
        <w:spacing w:line="360" w:lineRule="auto"/>
        <w:rPr>
          <w:bCs/>
          <w:iCs/>
          <w:sz w:val="24"/>
          <w:szCs w:val="24"/>
        </w:rPr>
      </w:pPr>
    </w:p>
    <w:p w14:paraId="5BA34202" w14:textId="77777777" w:rsidR="00A75D5E" w:rsidRPr="007A39F7" w:rsidRDefault="00A75D5E" w:rsidP="00A75D5E">
      <w:pPr>
        <w:spacing w:line="360" w:lineRule="auto"/>
        <w:rPr>
          <w:sz w:val="24"/>
          <w:szCs w:val="24"/>
        </w:rPr>
      </w:pPr>
      <w:r w:rsidRPr="007A39F7">
        <w:rPr>
          <w:sz w:val="24"/>
          <w:szCs w:val="24"/>
        </w:rPr>
        <w:t>Legislation</w:t>
      </w:r>
    </w:p>
    <w:p w14:paraId="2128298F" w14:textId="77777777" w:rsidR="00A75D5E" w:rsidRPr="007A39F7" w:rsidRDefault="00A75D5E" w:rsidP="00A75D5E">
      <w:pPr>
        <w:spacing w:line="360" w:lineRule="auto"/>
        <w:rPr>
          <w:sz w:val="24"/>
          <w:szCs w:val="24"/>
        </w:rPr>
      </w:pPr>
    </w:p>
    <w:p w14:paraId="1CCF1CD5" w14:textId="77777777" w:rsidR="00A75D5E" w:rsidRPr="007A39F7" w:rsidRDefault="00A75D5E" w:rsidP="00A75D5E">
      <w:pPr>
        <w:spacing w:line="360" w:lineRule="auto"/>
        <w:rPr>
          <w:sz w:val="24"/>
          <w:szCs w:val="24"/>
        </w:rPr>
      </w:pPr>
      <w:r w:rsidRPr="007A39F7">
        <w:rPr>
          <w:sz w:val="24"/>
          <w:szCs w:val="24"/>
        </w:rPr>
        <w:t xml:space="preserve">Secondary sources </w:t>
      </w:r>
    </w:p>
    <w:p w14:paraId="5091CE9A" w14:textId="77777777" w:rsidR="00A75D5E" w:rsidRPr="007A39F7" w:rsidRDefault="00A75D5E" w:rsidP="00A75D5E">
      <w:pPr>
        <w:spacing w:after="0" w:line="360" w:lineRule="auto"/>
        <w:ind w:left="720" w:hanging="720"/>
        <w:rPr>
          <w:rFonts w:eastAsia="Times New Roman" w:cstheme="minorHAnsi"/>
          <w:sz w:val="24"/>
          <w:szCs w:val="24"/>
          <w:lang w:val="en-GB" w:eastAsia="en-GB"/>
        </w:rPr>
      </w:pPr>
      <w:r w:rsidRPr="007A39F7">
        <w:rPr>
          <w:sz w:val="24"/>
          <w:szCs w:val="24"/>
        </w:rPr>
        <w:t xml:space="preserve">Brazier, M. (2003). </w:t>
      </w:r>
      <w:r w:rsidRPr="007A39F7">
        <w:rPr>
          <w:i/>
          <w:iCs/>
          <w:sz w:val="24"/>
          <w:szCs w:val="24"/>
        </w:rPr>
        <w:t>Medicine, Patients and the Law</w:t>
      </w:r>
      <w:r w:rsidRPr="007A39F7">
        <w:rPr>
          <w:sz w:val="24"/>
          <w:szCs w:val="24"/>
        </w:rPr>
        <w:t>. Third Edition, Harmondsworth: Penguin Books</w:t>
      </w:r>
    </w:p>
    <w:p w14:paraId="04AFBEC5" w14:textId="77777777" w:rsidR="00A75D5E" w:rsidRPr="007A39F7" w:rsidRDefault="00A75D5E" w:rsidP="00A75D5E">
      <w:pPr>
        <w:spacing w:after="0" w:line="360" w:lineRule="auto"/>
        <w:ind w:left="720" w:hanging="720"/>
        <w:rPr>
          <w:rFonts w:eastAsia="Times New Roman" w:cstheme="minorHAnsi"/>
          <w:sz w:val="24"/>
          <w:szCs w:val="24"/>
          <w:lang w:val="en-GB" w:eastAsia="en-GB"/>
        </w:rPr>
      </w:pPr>
      <w:r w:rsidRPr="007A39F7">
        <w:rPr>
          <w:rFonts w:eastAsia="Times New Roman" w:cstheme="minorHAnsi"/>
          <w:sz w:val="24"/>
          <w:szCs w:val="24"/>
          <w:lang w:val="en-GB" w:eastAsia="en-GB"/>
        </w:rPr>
        <w:t xml:space="preserve">Cairney, P., </w:t>
      </w:r>
      <w:proofErr w:type="spellStart"/>
      <w:r w:rsidRPr="007A39F7">
        <w:rPr>
          <w:rFonts w:eastAsia="Times New Roman" w:cstheme="minorHAnsi"/>
          <w:sz w:val="24"/>
          <w:szCs w:val="24"/>
          <w:lang w:val="en-GB" w:eastAsia="en-GB"/>
        </w:rPr>
        <w:t>McHarg</w:t>
      </w:r>
      <w:proofErr w:type="spellEnd"/>
      <w:r w:rsidRPr="007A39F7">
        <w:rPr>
          <w:rFonts w:eastAsia="Times New Roman" w:cstheme="minorHAnsi"/>
          <w:sz w:val="24"/>
          <w:szCs w:val="24"/>
          <w:lang w:val="en-GB" w:eastAsia="en-GB"/>
        </w:rPr>
        <w:t xml:space="preserve">, A., McEwen, N., &amp; Turner, K. (2019). How to conceptualise energy law and policy for an interdisciplinary audience: The case of post-Brexit UK. </w:t>
      </w:r>
      <w:r w:rsidRPr="007A39F7">
        <w:rPr>
          <w:rFonts w:eastAsia="Times New Roman" w:cstheme="minorHAnsi"/>
          <w:i/>
          <w:iCs/>
          <w:sz w:val="24"/>
          <w:szCs w:val="24"/>
          <w:lang w:val="en-GB" w:eastAsia="en-GB"/>
        </w:rPr>
        <w:t>Energy policy</w:t>
      </w:r>
      <w:r w:rsidRPr="007A39F7">
        <w:rPr>
          <w:rFonts w:eastAsia="Times New Roman" w:cstheme="minorHAnsi"/>
          <w:sz w:val="24"/>
          <w:szCs w:val="24"/>
          <w:lang w:val="en-GB" w:eastAsia="en-GB"/>
        </w:rPr>
        <w:t xml:space="preserve">, </w:t>
      </w:r>
      <w:r w:rsidRPr="007A39F7">
        <w:rPr>
          <w:rFonts w:eastAsia="Times New Roman" w:cstheme="minorHAnsi"/>
          <w:i/>
          <w:iCs/>
          <w:sz w:val="24"/>
          <w:szCs w:val="24"/>
          <w:lang w:val="en-GB" w:eastAsia="en-GB"/>
        </w:rPr>
        <w:t>129</w:t>
      </w:r>
      <w:r w:rsidRPr="007A39F7">
        <w:rPr>
          <w:rFonts w:eastAsia="Times New Roman" w:cstheme="minorHAnsi"/>
          <w:sz w:val="24"/>
          <w:szCs w:val="24"/>
          <w:lang w:val="en-GB" w:eastAsia="en-GB"/>
        </w:rPr>
        <w:t>, 459-466.</w:t>
      </w:r>
    </w:p>
    <w:p w14:paraId="6536305B" w14:textId="77777777" w:rsidR="00A75D5E" w:rsidRPr="007A39F7" w:rsidRDefault="00A75D5E" w:rsidP="00A75D5E">
      <w:pPr>
        <w:spacing w:after="0" w:line="360" w:lineRule="auto"/>
        <w:ind w:left="720" w:hanging="720"/>
        <w:rPr>
          <w:rFonts w:eastAsia="Times New Roman" w:cstheme="minorHAnsi"/>
          <w:sz w:val="24"/>
          <w:szCs w:val="24"/>
          <w:lang w:val="en-GB" w:eastAsia="en-GB"/>
        </w:rPr>
      </w:pPr>
      <w:proofErr w:type="spellStart"/>
      <w:r w:rsidRPr="007A39F7">
        <w:rPr>
          <w:rFonts w:eastAsia="Times New Roman" w:cstheme="minorHAnsi"/>
          <w:sz w:val="24"/>
          <w:szCs w:val="24"/>
          <w:lang w:val="en-GB" w:eastAsia="en-GB"/>
        </w:rPr>
        <w:t>Palombo</w:t>
      </w:r>
      <w:proofErr w:type="spellEnd"/>
      <w:r w:rsidRPr="007A39F7">
        <w:rPr>
          <w:rFonts w:eastAsia="Times New Roman" w:cstheme="minorHAnsi"/>
          <w:sz w:val="24"/>
          <w:szCs w:val="24"/>
          <w:lang w:val="en-GB" w:eastAsia="en-GB"/>
        </w:rPr>
        <w:t xml:space="preserve">, D. (2019). The duty of care of the parent company: A comparison between French law, UK precedents and the Swiss proposals. </w:t>
      </w:r>
      <w:r w:rsidRPr="007A39F7">
        <w:rPr>
          <w:rFonts w:eastAsia="Times New Roman" w:cstheme="minorHAnsi"/>
          <w:i/>
          <w:iCs/>
          <w:sz w:val="24"/>
          <w:szCs w:val="24"/>
          <w:lang w:val="en-GB" w:eastAsia="en-GB"/>
        </w:rPr>
        <w:t>Business and Human Rights Journal</w:t>
      </w:r>
      <w:r w:rsidRPr="007A39F7">
        <w:rPr>
          <w:rFonts w:eastAsia="Times New Roman" w:cstheme="minorHAnsi"/>
          <w:sz w:val="24"/>
          <w:szCs w:val="24"/>
          <w:lang w:val="en-GB" w:eastAsia="en-GB"/>
        </w:rPr>
        <w:t xml:space="preserve">, </w:t>
      </w:r>
      <w:r w:rsidRPr="007A39F7">
        <w:rPr>
          <w:rFonts w:eastAsia="Times New Roman" w:cstheme="minorHAnsi"/>
          <w:i/>
          <w:iCs/>
          <w:sz w:val="24"/>
          <w:szCs w:val="24"/>
          <w:lang w:val="en-GB" w:eastAsia="en-GB"/>
        </w:rPr>
        <w:t>4</w:t>
      </w:r>
      <w:r w:rsidRPr="007A39F7">
        <w:rPr>
          <w:rFonts w:eastAsia="Times New Roman" w:cstheme="minorHAnsi"/>
          <w:sz w:val="24"/>
          <w:szCs w:val="24"/>
          <w:lang w:val="en-GB" w:eastAsia="en-GB"/>
        </w:rPr>
        <w:t>(2), 265-286.</w:t>
      </w:r>
    </w:p>
    <w:p w14:paraId="6AE9F403" w14:textId="77777777" w:rsidR="00A75D5E" w:rsidRPr="007A39F7" w:rsidRDefault="00A75D5E" w:rsidP="00A75D5E">
      <w:pPr>
        <w:spacing w:after="0" w:line="360" w:lineRule="auto"/>
        <w:ind w:left="720" w:hanging="720"/>
        <w:rPr>
          <w:rFonts w:eastAsia="Times New Roman" w:cstheme="minorHAnsi"/>
          <w:sz w:val="24"/>
          <w:szCs w:val="24"/>
          <w:lang w:val="en-GB" w:eastAsia="en-GB"/>
        </w:rPr>
      </w:pPr>
      <w:r w:rsidRPr="007A39F7">
        <w:rPr>
          <w:rStyle w:val="HTMLCite"/>
          <w:sz w:val="24"/>
          <w:szCs w:val="24"/>
        </w:rPr>
        <w:t xml:space="preserve">Taylor, Martin R. (2004). </w:t>
      </w:r>
      <w:hyperlink r:id="rId12" w:history="1">
        <w:r w:rsidRPr="007A39F7">
          <w:rPr>
            <w:rStyle w:val="Hyperlink"/>
            <w:color w:val="auto"/>
            <w:sz w:val="24"/>
            <w:szCs w:val="24"/>
            <w:u w:val="none"/>
          </w:rPr>
          <w:t>"</w:t>
        </w:r>
        <w:proofErr w:type="spellStart"/>
        <w:r w:rsidRPr="007A39F7">
          <w:rPr>
            <w:rStyle w:val="Hyperlink"/>
            <w:color w:val="auto"/>
            <w:sz w:val="24"/>
            <w:szCs w:val="24"/>
            <w:u w:val="none"/>
          </w:rPr>
          <w:t>Mrs</w:t>
        </w:r>
        <w:proofErr w:type="spellEnd"/>
        <w:r w:rsidRPr="007A39F7">
          <w:rPr>
            <w:rStyle w:val="Hyperlink"/>
            <w:color w:val="auto"/>
            <w:sz w:val="24"/>
            <w:szCs w:val="24"/>
            <w:u w:val="none"/>
          </w:rPr>
          <w:t xml:space="preserve"> Donoghue's Journey"</w:t>
        </w:r>
      </w:hyperlink>
      <w:r w:rsidRPr="007A39F7">
        <w:rPr>
          <w:rStyle w:val="HTMLCite"/>
          <w:sz w:val="24"/>
          <w:szCs w:val="24"/>
        </w:rPr>
        <w:t xml:space="preserve">. Donoghue v Stevenson Digital Resources. </w:t>
      </w:r>
      <w:hyperlink r:id="rId13" w:tooltip="Scottish Council of Law Reporting (page does not exist)" w:history="1">
        <w:r w:rsidRPr="007A39F7">
          <w:rPr>
            <w:rStyle w:val="Hyperlink"/>
            <w:color w:val="auto"/>
            <w:sz w:val="24"/>
            <w:szCs w:val="24"/>
            <w:u w:val="none"/>
          </w:rPr>
          <w:t>Scottish Council of Law Reporting</w:t>
        </w:r>
      </w:hyperlink>
      <w:r w:rsidRPr="007A39F7">
        <w:rPr>
          <w:rStyle w:val="reference-accessdate"/>
          <w:sz w:val="24"/>
          <w:szCs w:val="24"/>
        </w:rPr>
        <w:t>.</w:t>
      </w:r>
      <w:r w:rsidRPr="007A39F7">
        <w:rPr>
          <w:rStyle w:val="reference-accessdate"/>
          <w:i/>
          <w:iCs/>
          <w:sz w:val="24"/>
          <w:szCs w:val="24"/>
        </w:rPr>
        <w:t xml:space="preserve"> Retrieved </w:t>
      </w:r>
      <w:r w:rsidRPr="007A39F7">
        <w:rPr>
          <w:rStyle w:val="nowrap"/>
          <w:i/>
          <w:iCs/>
          <w:sz w:val="24"/>
          <w:szCs w:val="24"/>
        </w:rPr>
        <w:t>7 September</w:t>
      </w:r>
      <w:r w:rsidRPr="007A39F7">
        <w:rPr>
          <w:rStyle w:val="reference-accessdate"/>
          <w:i/>
          <w:iCs/>
          <w:sz w:val="24"/>
          <w:szCs w:val="24"/>
        </w:rPr>
        <w:t xml:space="preserve"> 2012</w:t>
      </w:r>
      <w:r w:rsidRPr="007A39F7">
        <w:rPr>
          <w:rStyle w:val="HTMLCite"/>
          <w:sz w:val="24"/>
          <w:szCs w:val="24"/>
        </w:rPr>
        <w:t>.</w:t>
      </w:r>
    </w:p>
    <w:p w14:paraId="2C4318F1" w14:textId="77777777" w:rsidR="00A75D5E" w:rsidRPr="007A39F7" w:rsidRDefault="00A75D5E" w:rsidP="00A75D5E">
      <w:pPr>
        <w:spacing w:after="0" w:line="360" w:lineRule="auto"/>
        <w:ind w:left="720" w:hanging="720"/>
        <w:rPr>
          <w:rFonts w:eastAsia="Times New Roman" w:cstheme="minorHAnsi"/>
          <w:sz w:val="24"/>
          <w:szCs w:val="24"/>
          <w:lang w:val="en-GB" w:eastAsia="en-GB"/>
        </w:rPr>
      </w:pPr>
      <w:r w:rsidRPr="007A39F7">
        <w:rPr>
          <w:rFonts w:eastAsia="Times New Roman" w:cstheme="minorHAnsi"/>
          <w:sz w:val="24"/>
          <w:szCs w:val="24"/>
          <w:lang w:val="en-GB" w:eastAsia="en-GB"/>
        </w:rPr>
        <w:t xml:space="preserve">Waterson, P. (2020). Causation, levels of analysis and explanation in systems ergonomics–A closer look at the UK NHS Morecambe Bay Investigation. </w:t>
      </w:r>
      <w:r w:rsidRPr="007A39F7">
        <w:rPr>
          <w:rFonts w:eastAsia="Times New Roman" w:cstheme="minorHAnsi"/>
          <w:i/>
          <w:iCs/>
          <w:sz w:val="24"/>
          <w:szCs w:val="24"/>
          <w:lang w:val="en-GB" w:eastAsia="en-GB"/>
        </w:rPr>
        <w:t>Applied Ergonomics</w:t>
      </w:r>
      <w:r w:rsidRPr="007A39F7">
        <w:rPr>
          <w:rFonts w:eastAsia="Times New Roman" w:cstheme="minorHAnsi"/>
          <w:sz w:val="24"/>
          <w:szCs w:val="24"/>
          <w:lang w:val="en-GB" w:eastAsia="en-GB"/>
        </w:rPr>
        <w:t xml:space="preserve">, </w:t>
      </w:r>
      <w:r w:rsidRPr="007A39F7">
        <w:rPr>
          <w:rFonts w:eastAsia="Times New Roman" w:cstheme="minorHAnsi"/>
          <w:i/>
          <w:iCs/>
          <w:sz w:val="24"/>
          <w:szCs w:val="24"/>
          <w:lang w:val="en-GB" w:eastAsia="en-GB"/>
        </w:rPr>
        <w:t>84</w:t>
      </w:r>
      <w:r w:rsidRPr="007A39F7">
        <w:rPr>
          <w:rFonts w:eastAsia="Times New Roman" w:cstheme="minorHAnsi"/>
          <w:sz w:val="24"/>
          <w:szCs w:val="24"/>
          <w:lang w:val="en-GB" w:eastAsia="en-GB"/>
        </w:rPr>
        <w:t>, 103011.</w:t>
      </w:r>
    </w:p>
    <w:p w14:paraId="2520A726" w14:textId="77777777" w:rsidR="00A75D5E" w:rsidRPr="007A39F7" w:rsidRDefault="00A75D5E" w:rsidP="00A75D5E">
      <w:pPr>
        <w:spacing w:after="0" w:line="360" w:lineRule="auto"/>
        <w:ind w:left="720" w:hanging="720"/>
        <w:rPr>
          <w:rFonts w:eastAsia="Times New Roman" w:cstheme="minorHAnsi"/>
          <w:sz w:val="24"/>
          <w:szCs w:val="24"/>
          <w:lang w:val="en-GB" w:eastAsia="en-GB"/>
        </w:rPr>
      </w:pPr>
      <w:proofErr w:type="spellStart"/>
      <w:r w:rsidRPr="007A39F7">
        <w:rPr>
          <w:rStyle w:val="HTMLCite"/>
          <w:sz w:val="24"/>
          <w:szCs w:val="24"/>
        </w:rPr>
        <w:t>Weinrib</w:t>
      </w:r>
      <w:proofErr w:type="spellEnd"/>
      <w:r w:rsidRPr="007A39F7">
        <w:rPr>
          <w:rStyle w:val="HTMLCite"/>
          <w:sz w:val="24"/>
          <w:szCs w:val="24"/>
        </w:rPr>
        <w:t xml:space="preserve">, Ernest (1975). "A Step Forward in Factual Causation". The Modern Law Review. </w:t>
      </w:r>
      <w:r w:rsidRPr="007A39F7">
        <w:rPr>
          <w:rStyle w:val="HTMLCite"/>
          <w:b/>
          <w:bCs/>
          <w:sz w:val="24"/>
          <w:szCs w:val="24"/>
        </w:rPr>
        <w:t>38</w:t>
      </w:r>
      <w:r w:rsidRPr="007A39F7">
        <w:rPr>
          <w:rStyle w:val="HTMLCite"/>
          <w:sz w:val="24"/>
          <w:szCs w:val="24"/>
        </w:rPr>
        <w:t xml:space="preserve"> (5): 518–534</w:t>
      </w:r>
    </w:p>
    <w:p w14:paraId="70B92F39" w14:textId="77777777" w:rsidR="00A75D5E" w:rsidRPr="007A39F7" w:rsidRDefault="00A75D5E" w:rsidP="00A75D5E">
      <w:pPr>
        <w:spacing w:after="0" w:line="360" w:lineRule="auto"/>
        <w:ind w:left="720" w:hanging="720"/>
        <w:rPr>
          <w:rFonts w:eastAsia="Times New Roman" w:cstheme="minorHAnsi"/>
          <w:sz w:val="24"/>
          <w:szCs w:val="24"/>
          <w:lang w:val="en-GB" w:eastAsia="en-GB"/>
        </w:rPr>
      </w:pPr>
      <w:r w:rsidRPr="007A39F7">
        <w:rPr>
          <w:rFonts w:eastAsia="Times New Roman" w:cstheme="minorHAnsi"/>
          <w:sz w:val="24"/>
          <w:szCs w:val="24"/>
          <w:lang w:val="en-GB" w:eastAsia="en-GB"/>
        </w:rPr>
        <w:lastRenderedPageBreak/>
        <w:t>Woods, L., &amp; Perrin, W. (2019). Online harm reduction–a statutory duty of care and regulator.</w:t>
      </w:r>
    </w:p>
    <w:p w14:paraId="3F7492EF" w14:textId="0B55966C" w:rsidR="00A32C85" w:rsidRDefault="00A32C85" w:rsidP="00031AD2">
      <w:pPr>
        <w:pStyle w:val="ListParagraph"/>
        <w:spacing w:line="360" w:lineRule="auto"/>
        <w:ind w:firstLine="720"/>
        <w:rPr>
          <w:sz w:val="24"/>
          <w:szCs w:val="24"/>
        </w:rPr>
        <w:sectPr w:rsidR="00A32C85" w:rsidSect="00270331">
          <w:footerReference w:type="default" r:id="rId14"/>
          <w:footerReference w:type="first" r:id="rId15"/>
          <w:pgSz w:w="11907" w:h="16839" w:code="9"/>
          <w:pgMar w:top="1440" w:right="1440" w:bottom="1440" w:left="1440" w:header="720" w:footer="1008" w:gutter="0"/>
          <w:cols w:space="720"/>
          <w:docGrid w:linePitch="326"/>
        </w:sectPr>
      </w:pPr>
    </w:p>
    <w:p w14:paraId="5D6E0924" w14:textId="52451647" w:rsidR="00671342" w:rsidRPr="007A39F7" w:rsidRDefault="0009574F" w:rsidP="00031AD2">
      <w:pPr>
        <w:pStyle w:val="ListParagraph"/>
        <w:spacing w:line="360" w:lineRule="auto"/>
        <w:ind w:firstLine="720"/>
        <w:rPr>
          <w:sz w:val="24"/>
          <w:szCs w:val="24"/>
        </w:rPr>
      </w:pPr>
      <w:r w:rsidRPr="007A39F7">
        <w:rPr>
          <w:sz w:val="24"/>
          <w:szCs w:val="24"/>
        </w:rPr>
        <w:lastRenderedPageBreak/>
        <w:t xml:space="preserve">a doctor owes a duty of care to a patient. Dr Grimes did precisely that. The loss was not foreseeable, and there is no direct </w:t>
      </w:r>
      <w:r w:rsidR="00334FBE" w:rsidRPr="007A39F7">
        <w:rPr>
          <w:sz w:val="24"/>
          <w:szCs w:val="24"/>
        </w:rPr>
        <w:t>causal link. Therefore Dr Grimes did not breach his duty of care towards Maggie and thus, there is no successful entitlement to damages.</w:t>
      </w:r>
      <w:r w:rsidR="004F4599" w:rsidRPr="007A39F7">
        <w:rPr>
          <w:sz w:val="24"/>
          <w:szCs w:val="24"/>
        </w:rPr>
        <w:t xml:space="preserve"> Though Dr Grimes owed Maggie the duty of care, he did not breach it as he acted reasonably.</w:t>
      </w:r>
    </w:p>
    <w:p w14:paraId="6161A3AF" w14:textId="77777777" w:rsidR="004F4599" w:rsidRPr="007A39F7" w:rsidRDefault="0009574F" w:rsidP="00031AD2">
      <w:pPr>
        <w:pStyle w:val="ListParagraph"/>
        <w:numPr>
          <w:ilvl w:val="0"/>
          <w:numId w:val="4"/>
        </w:numPr>
        <w:spacing w:line="360" w:lineRule="auto"/>
        <w:ind w:firstLine="720"/>
        <w:rPr>
          <w:sz w:val="24"/>
          <w:szCs w:val="24"/>
        </w:rPr>
      </w:pPr>
      <w:r w:rsidRPr="007A39F7">
        <w:rPr>
          <w:sz w:val="24"/>
          <w:szCs w:val="24"/>
        </w:rPr>
        <w:t xml:space="preserve">Did </w:t>
      </w:r>
      <w:proofErr w:type="spellStart"/>
      <w:r w:rsidRPr="007A39F7">
        <w:rPr>
          <w:sz w:val="24"/>
          <w:szCs w:val="24"/>
        </w:rPr>
        <w:t>Anyshire</w:t>
      </w:r>
      <w:proofErr w:type="spellEnd"/>
      <w:r w:rsidRPr="007A39F7">
        <w:rPr>
          <w:sz w:val="24"/>
          <w:szCs w:val="24"/>
        </w:rPr>
        <w:t xml:space="preserve"> NHS Hospital trust owe Dr Grimes a duty to avoid causing him psychiatric harm caused by work-related stress in the circumstances?</w:t>
      </w:r>
    </w:p>
    <w:p w14:paraId="79D16935" w14:textId="77777777" w:rsidR="00705065" w:rsidRPr="007A39F7" w:rsidRDefault="0009574F" w:rsidP="00031AD2">
      <w:pPr>
        <w:pStyle w:val="ListParagraph"/>
        <w:spacing w:line="360" w:lineRule="auto"/>
        <w:ind w:firstLine="720"/>
        <w:rPr>
          <w:b/>
          <w:sz w:val="24"/>
          <w:szCs w:val="24"/>
        </w:rPr>
      </w:pPr>
      <w:r w:rsidRPr="007A39F7">
        <w:rPr>
          <w:b/>
          <w:sz w:val="24"/>
          <w:szCs w:val="24"/>
        </w:rPr>
        <w:t>INTRODUCTION</w:t>
      </w:r>
    </w:p>
    <w:p w14:paraId="71BE0106" w14:textId="77777777" w:rsidR="00705065" w:rsidRPr="007A39F7" w:rsidRDefault="0009574F" w:rsidP="00031AD2">
      <w:pPr>
        <w:pStyle w:val="ListParagraph"/>
        <w:spacing w:line="360" w:lineRule="auto"/>
        <w:ind w:firstLine="720"/>
        <w:rPr>
          <w:sz w:val="24"/>
          <w:szCs w:val="24"/>
        </w:rPr>
      </w:pPr>
      <w:r w:rsidRPr="007A39F7">
        <w:rPr>
          <w:sz w:val="24"/>
          <w:szCs w:val="24"/>
        </w:rPr>
        <w:t>Employers should take reasonable steps to ensure the safety of all employees, and they are obliged to observe a reasonable standard of care. Employers are required to provide adequate safety information an</w:t>
      </w:r>
      <w:r w:rsidR="00450DAB" w:rsidRPr="007A39F7">
        <w:rPr>
          <w:sz w:val="24"/>
          <w:szCs w:val="24"/>
        </w:rPr>
        <w:t xml:space="preserve">d equipment to their employees, </w:t>
      </w:r>
      <w:r w:rsidRPr="007A39F7">
        <w:rPr>
          <w:sz w:val="24"/>
          <w:szCs w:val="24"/>
        </w:rPr>
        <w:t xml:space="preserve">to ensure </w:t>
      </w:r>
    </w:p>
    <w:p w14:paraId="213A3D3D" w14:textId="77777777" w:rsidR="00705065" w:rsidRPr="007A39F7" w:rsidRDefault="0009574F" w:rsidP="00031AD2">
      <w:pPr>
        <w:pStyle w:val="ListParagraph"/>
        <w:spacing w:line="360" w:lineRule="auto"/>
        <w:ind w:firstLine="720"/>
        <w:rPr>
          <w:sz w:val="24"/>
          <w:szCs w:val="24"/>
        </w:rPr>
      </w:pPr>
      <w:r w:rsidRPr="007A39F7">
        <w:rPr>
          <w:sz w:val="24"/>
          <w:szCs w:val="24"/>
        </w:rPr>
        <w:t>That the workplace is safe while giving sufficient instructions and competent staff to carry out the duties, and to warn employers of any dangers in the workplace properly. Failure to adequately adhere to statutory responsibilities may result in an action against an employer.</w:t>
      </w:r>
    </w:p>
    <w:p w14:paraId="524C22F4" w14:textId="77777777" w:rsidR="00705065" w:rsidRPr="007A39F7" w:rsidRDefault="0009574F" w:rsidP="00031AD2">
      <w:pPr>
        <w:pStyle w:val="ListParagraph"/>
        <w:spacing w:line="360" w:lineRule="auto"/>
        <w:ind w:firstLine="720"/>
        <w:rPr>
          <w:sz w:val="24"/>
          <w:szCs w:val="24"/>
        </w:rPr>
      </w:pPr>
      <w:r w:rsidRPr="007A39F7">
        <w:rPr>
          <w:sz w:val="24"/>
          <w:szCs w:val="24"/>
        </w:rPr>
        <w:t>The employer's duties to an employee include, but are not limited to:</w:t>
      </w:r>
    </w:p>
    <w:p w14:paraId="4DE5C3A8" w14:textId="77777777" w:rsidR="00450DAB" w:rsidRPr="007A39F7" w:rsidRDefault="0009574F" w:rsidP="00031AD2">
      <w:pPr>
        <w:pStyle w:val="ListParagraph"/>
        <w:numPr>
          <w:ilvl w:val="0"/>
          <w:numId w:val="5"/>
        </w:numPr>
        <w:spacing w:line="360" w:lineRule="auto"/>
        <w:ind w:firstLine="720"/>
        <w:rPr>
          <w:sz w:val="24"/>
          <w:szCs w:val="24"/>
        </w:rPr>
      </w:pPr>
      <w:r w:rsidRPr="007A39F7">
        <w:rPr>
          <w:sz w:val="24"/>
          <w:szCs w:val="24"/>
        </w:rPr>
        <w:t>The duty to provide competent staff</w:t>
      </w:r>
    </w:p>
    <w:p w14:paraId="028FD5C8" w14:textId="77777777" w:rsidR="00450DAB" w:rsidRPr="007A39F7" w:rsidRDefault="0009574F" w:rsidP="00031AD2">
      <w:pPr>
        <w:pStyle w:val="ListParagraph"/>
        <w:numPr>
          <w:ilvl w:val="0"/>
          <w:numId w:val="5"/>
        </w:numPr>
        <w:spacing w:line="360" w:lineRule="auto"/>
        <w:ind w:firstLine="720"/>
        <w:rPr>
          <w:sz w:val="24"/>
          <w:szCs w:val="24"/>
        </w:rPr>
      </w:pPr>
      <w:r w:rsidRPr="007A39F7">
        <w:rPr>
          <w:sz w:val="24"/>
          <w:szCs w:val="24"/>
        </w:rPr>
        <w:t>The duty to provide a safe place to work</w:t>
      </w:r>
    </w:p>
    <w:p w14:paraId="630913A6" w14:textId="77777777" w:rsidR="00450DAB" w:rsidRPr="007A39F7" w:rsidRDefault="0009574F" w:rsidP="00031AD2">
      <w:pPr>
        <w:pStyle w:val="ListParagraph"/>
        <w:numPr>
          <w:ilvl w:val="0"/>
          <w:numId w:val="5"/>
        </w:numPr>
        <w:spacing w:line="360" w:lineRule="auto"/>
        <w:ind w:firstLine="720"/>
        <w:rPr>
          <w:sz w:val="24"/>
          <w:szCs w:val="24"/>
        </w:rPr>
      </w:pPr>
      <w:r w:rsidRPr="007A39F7">
        <w:rPr>
          <w:sz w:val="24"/>
          <w:szCs w:val="24"/>
        </w:rPr>
        <w:t>The duty to provide proper and adequate materials</w:t>
      </w:r>
    </w:p>
    <w:p w14:paraId="6E43B7C6" w14:textId="77777777" w:rsidR="00450DAB" w:rsidRPr="007A39F7" w:rsidRDefault="0009574F" w:rsidP="00031AD2">
      <w:pPr>
        <w:pStyle w:val="ListParagraph"/>
        <w:numPr>
          <w:ilvl w:val="0"/>
          <w:numId w:val="5"/>
        </w:numPr>
        <w:spacing w:line="360" w:lineRule="auto"/>
        <w:ind w:firstLine="720"/>
        <w:rPr>
          <w:sz w:val="24"/>
          <w:szCs w:val="24"/>
        </w:rPr>
      </w:pPr>
      <w:r w:rsidRPr="007A39F7">
        <w:rPr>
          <w:sz w:val="24"/>
          <w:szCs w:val="24"/>
        </w:rPr>
        <w:t>The duty to provide a safe system of work and supervision.</w:t>
      </w:r>
    </w:p>
    <w:p w14:paraId="36EE0A10" w14:textId="77777777" w:rsidR="00450DAB" w:rsidRPr="007A39F7" w:rsidRDefault="0009574F" w:rsidP="00031AD2">
      <w:pPr>
        <w:spacing w:line="360" w:lineRule="auto"/>
        <w:ind w:left="720" w:firstLine="720"/>
        <w:rPr>
          <w:b/>
          <w:sz w:val="24"/>
          <w:szCs w:val="24"/>
        </w:rPr>
      </w:pPr>
      <w:r w:rsidRPr="007A39F7">
        <w:rPr>
          <w:b/>
          <w:sz w:val="24"/>
          <w:szCs w:val="24"/>
        </w:rPr>
        <w:t>The duty to care</w:t>
      </w:r>
    </w:p>
    <w:p w14:paraId="6504C746" w14:textId="77777777" w:rsidR="00450DAB" w:rsidRPr="007A39F7" w:rsidRDefault="0009574F" w:rsidP="00031AD2">
      <w:pPr>
        <w:spacing w:line="360" w:lineRule="auto"/>
        <w:ind w:left="720" w:firstLine="720"/>
        <w:rPr>
          <w:sz w:val="24"/>
          <w:szCs w:val="24"/>
        </w:rPr>
      </w:pPr>
      <w:r w:rsidRPr="007A39F7">
        <w:rPr>
          <w:sz w:val="24"/>
          <w:szCs w:val="24"/>
        </w:rPr>
        <w:t>The obligation to take reasonable care to protect the employee against foreseeable injury arising out of the employment may appear as an implied term in the contract of employment or as a separate duty or occasionally as an express contractual term. The standard of care is reasonable care and does not amount to a guarantee of the employee's safety. Reasonable care varies from business to business.</w:t>
      </w:r>
    </w:p>
    <w:p w14:paraId="035DC2DE" w14:textId="77777777" w:rsidR="00450DAB" w:rsidRPr="007A39F7" w:rsidRDefault="0009574F" w:rsidP="00031AD2">
      <w:pPr>
        <w:spacing w:line="360" w:lineRule="auto"/>
        <w:ind w:left="720" w:firstLine="720"/>
        <w:rPr>
          <w:b/>
          <w:sz w:val="24"/>
          <w:szCs w:val="24"/>
        </w:rPr>
      </w:pPr>
      <w:r w:rsidRPr="007A39F7">
        <w:rPr>
          <w:b/>
          <w:sz w:val="24"/>
          <w:szCs w:val="24"/>
        </w:rPr>
        <w:t>Actionable harm suffered</w:t>
      </w:r>
    </w:p>
    <w:p w14:paraId="3F096A7B" w14:textId="77777777" w:rsidR="00597B4E" w:rsidRPr="007A39F7" w:rsidRDefault="0009574F" w:rsidP="00031AD2">
      <w:pPr>
        <w:spacing w:line="360" w:lineRule="auto"/>
        <w:ind w:left="720" w:firstLine="720"/>
        <w:rPr>
          <w:sz w:val="24"/>
          <w:szCs w:val="24"/>
        </w:rPr>
      </w:pPr>
      <w:r w:rsidRPr="007A39F7">
        <w:rPr>
          <w:sz w:val="24"/>
          <w:szCs w:val="24"/>
        </w:rPr>
        <w:lastRenderedPageBreak/>
        <w:t>The kind of harm to the particular employee must be reasonably foreseeable. The damage must be an injury to health which is attributable to stress at work. What the employer knows or ought to know is dependent on foreseeability about the individual employee. The indications of the harm that is impeding to health arising from stress at work must be plain enough for any reasonable employer to realize that he should do something about it. The employer is in breach of the duty of reasonable care if he has failed to take the steps which are reasonable in the circumstances, bearing in mind the magnitude of the risk of harm occurring and the gravity of the damage which may arise. The claimant must show that the breach of the duty of care caused or materially contributed to the damage suffered. From this, it is clear that the following must be in place:</w:t>
      </w:r>
    </w:p>
    <w:p w14:paraId="6746D47C" w14:textId="77777777" w:rsidR="00597B4E" w:rsidRPr="007A39F7" w:rsidRDefault="0009574F" w:rsidP="00031AD2">
      <w:pPr>
        <w:pStyle w:val="ListParagraph"/>
        <w:numPr>
          <w:ilvl w:val="0"/>
          <w:numId w:val="6"/>
        </w:numPr>
        <w:spacing w:line="360" w:lineRule="auto"/>
        <w:ind w:firstLine="720"/>
        <w:rPr>
          <w:sz w:val="24"/>
          <w:szCs w:val="24"/>
        </w:rPr>
      </w:pPr>
      <w:r w:rsidRPr="007A39F7">
        <w:rPr>
          <w:sz w:val="24"/>
          <w:szCs w:val="24"/>
        </w:rPr>
        <w:t>A duty of care</w:t>
      </w:r>
    </w:p>
    <w:p w14:paraId="23529727" w14:textId="77777777" w:rsidR="00597B4E" w:rsidRPr="007A39F7" w:rsidRDefault="0009574F" w:rsidP="00031AD2">
      <w:pPr>
        <w:pStyle w:val="ListParagraph"/>
        <w:numPr>
          <w:ilvl w:val="0"/>
          <w:numId w:val="6"/>
        </w:numPr>
        <w:spacing w:line="360" w:lineRule="auto"/>
        <w:ind w:firstLine="720"/>
        <w:rPr>
          <w:sz w:val="24"/>
          <w:szCs w:val="24"/>
        </w:rPr>
      </w:pPr>
      <w:r w:rsidRPr="007A39F7">
        <w:rPr>
          <w:sz w:val="24"/>
          <w:szCs w:val="24"/>
        </w:rPr>
        <w:t xml:space="preserve"> The harm was foreseeable</w:t>
      </w:r>
    </w:p>
    <w:p w14:paraId="327D818B" w14:textId="77777777" w:rsidR="00597B4E" w:rsidRPr="007A39F7" w:rsidRDefault="0009574F" w:rsidP="00031AD2">
      <w:pPr>
        <w:pStyle w:val="ListParagraph"/>
        <w:numPr>
          <w:ilvl w:val="0"/>
          <w:numId w:val="6"/>
        </w:numPr>
        <w:spacing w:line="360" w:lineRule="auto"/>
        <w:ind w:firstLine="720"/>
        <w:rPr>
          <w:sz w:val="24"/>
          <w:szCs w:val="24"/>
        </w:rPr>
      </w:pPr>
      <w:r w:rsidRPr="007A39F7">
        <w:rPr>
          <w:sz w:val="24"/>
          <w:szCs w:val="24"/>
        </w:rPr>
        <w:t>The accident caused the injury</w:t>
      </w:r>
    </w:p>
    <w:p w14:paraId="13DF8B30" w14:textId="77777777" w:rsidR="00597B4E" w:rsidRPr="007A39F7" w:rsidRDefault="0009574F" w:rsidP="00031AD2">
      <w:pPr>
        <w:pStyle w:val="ListParagraph"/>
        <w:numPr>
          <w:ilvl w:val="0"/>
          <w:numId w:val="6"/>
        </w:numPr>
        <w:spacing w:line="360" w:lineRule="auto"/>
        <w:ind w:firstLine="720"/>
        <w:rPr>
          <w:sz w:val="24"/>
          <w:szCs w:val="24"/>
        </w:rPr>
      </w:pPr>
      <w:r w:rsidRPr="007A39F7">
        <w:rPr>
          <w:sz w:val="24"/>
          <w:szCs w:val="24"/>
        </w:rPr>
        <w:t>The cost was a consequence of stress at work.</w:t>
      </w:r>
    </w:p>
    <w:p w14:paraId="01EB742D" w14:textId="77777777" w:rsidR="00597B4E" w:rsidRPr="007A39F7" w:rsidRDefault="0009574F" w:rsidP="00031AD2">
      <w:pPr>
        <w:spacing w:line="360" w:lineRule="auto"/>
        <w:ind w:left="720" w:firstLine="720"/>
        <w:rPr>
          <w:b/>
          <w:sz w:val="24"/>
          <w:szCs w:val="24"/>
        </w:rPr>
      </w:pPr>
      <w:r w:rsidRPr="007A39F7">
        <w:rPr>
          <w:b/>
          <w:sz w:val="24"/>
          <w:szCs w:val="24"/>
        </w:rPr>
        <w:t>Scenario analysis</w:t>
      </w:r>
    </w:p>
    <w:p w14:paraId="40D49D9E" w14:textId="77777777" w:rsidR="00597B4E" w:rsidRPr="007A39F7" w:rsidRDefault="0009574F" w:rsidP="00031AD2">
      <w:pPr>
        <w:spacing w:line="360" w:lineRule="auto"/>
        <w:ind w:left="720" w:firstLine="720"/>
        <w:rPr>
          <w:sz w:val="24"/>
          <w:szCs w:val="24"/>
        </w:rPr>
      </w:pPr>
      <w:r w:rsidRPr="007A39F7">
        <w:rPr>
          <w:sz w:val="24"/>
          <w:szCs w:val="24"/>
        </w:rPr>
        <w:t>Did Dr Grime suffer actionable harm?</w:t>
      </w:r>
    </w:p>
    <w:p w14:paraId="37AF83E1" w14:textId="77777777" w:rsidR="00597B4E" w:rsidRPr="007A39F7" w:rsidRDefault="0009574F" w:rsidP="00031AD2">
      <w:pPr>
        <w:spacing w:line="360" w:lineRule="auto"/>
        <w:ind w:left="720" w:firstLine="720"/>
        <w:rPr>
          <w:b/>
          <w:i/>
          <w:sz w:val="24"/>
          <w:szCs w:val="24"/>
        </w:rPr>
      </w:pPr>
      <w:r w:rsidRPr="007A39F7">
        <w:rPr>
          <w:sz w:val="24"/>
          <w:szCs w:val="24"/>
        </w:rPr>
        <w:t xml:space="preserve">Yes.  He is an employee of the hospital. It is because he works for the hospital. The harm was actionable since it is an injury to his health brought about while at his workplace. Further, his </w:t>
      </w:r>
      <w:r w:rsidR="00C55E4F" w:rsidRPr="007A39F7">
        <w:rPr>
          <w:sz w:val="24"/>
          <w:szCs w:val="24"/>
        </w:rPr>
        <w:t>employer’s, the</w:t>
      </w:r>
      <w:r w:rsidRPr="007A39F7">
        <w:rPr>
          <w:sz w:val="24"/>
          <w:szCs w:val="24"/>
        </w:rPr>
        <w:t xml:space="preserve"> line manager know of his health condition and so do the other workers. </w:t>
      </w:r>
      <w:r w:rsidR="00BC103B" w:rsidRPr="007A39F7">
        <w:rPr>
          <w:sz w:val="24"/>
          <w:szCs w:val="24"/>
        </w:rPr>
        <w:t xml:space="preserve">The employer breaches the duty of care by promising to refer him to a counsellor and the hospital's occupational health department but fail to do so. This is as was addressed in </w:t>
      </w:r>
      <w:r w:rsidR="00BC103B" w:rsidRPr="007A39F7">
        <w:rPr>
          <w:b/>
          <w:i/>
          <w:sz w:val="24"/>
          <w:szCs w:val="24"/>
        </w:rPr>
        <w:t xml:space="preserve">Berber v Dunnes Stores Ltd </w:t>
      </w:r>
      <w:r w:rsidR="00BC103B" w:rsidRPr="007A39F7">
        <w:rPr>
          <w:sz w:val="24"/>
          <w:szCs w:val="24"/>
        </w:rPr>
        <w:t xml:space="preserve">and </w:t>
      </w:r>
      <w:r w:rsidR="00BC103B" w:rsidRPr="007A39F7">
        <w:rPr>
          <w:b/>
          <w:i/>
          <w:sz w:val="24"/>
          <w:szCs w:val="24"/>
        </w:rPr>
        <w:t>Hatton v Sunderland.</w:t>
      </w:r>
    </w:p>
    <w:p w14:paraId="6363122C" w14:textId="77777777" w:rsidR="00BC103B" w:rsidRPr="007A39F7" w:rsidRDefault="0009574F" w:rsidP="00031AD2">
      <w:pPr>
        <w:spacing w:line="360" w:lineRule="auto"/>
        <w:ind w:left="720" w:firstLine="720"/>
        <w:rPr>
          <w:sz w:val="24"/>
          <w:szCs w:val="24"/>
        </w:rPr>
      </w:pPr>
      <w:r w:rsidRPr="007A39F7">
        <w:rPr>
          <w:sz w:val="24"/>
          <w:szCs w:val="24"/>
        </w:rPr>
        <w:t>Did Anyshire NHS Hospital Trust owe a duty of care to Dr Grime?</w:t>
      </w:r>
    </w:p>
    <w:p w14:paraId="6ABD0E1B" w14:textId="77777777" w:rsidR="00BC103B" w:rsidRPr="007A39F7" w:rsidRDefault="0009574F" w:rsidP="00031AD2">
      <w:pPr>
        <w:spacing w:line="360" w:lineRule="auto"/>
        <w:ind w:left="720" w:firstLine="720"/>
        <w:rPr>
          <w:sz w:val="24"/>
          <w:szCs w:val="24"/>
        </w:rPr>
      </w:pPr>
      <w:r w:rsidRPr="007A39F7">
        <w:rPr>
          <w:sz w:val="24"/>
          <w:szCs w:val="24"/>
        </w:rPr>
        <w:t xml:space="preserve">Yes. He is an employee of the hospital. His employer owes each employee a duty of care. The hospital failed to take reasonable steps to ensure the doctor's health was in place. This is as was held in </w:t>
      </w:r>
      <w:r w:rsidRPr="007A39F7">
        <w:rPr>
          <w:b/>
          <w:i/>
          <w:sz w:val="24"/>
          <w:szCs w:val="24"/>
        </w:rPr>
        <w:t xml:space="preserve">Boniface Mutama Karita v Carton </w:t>
      </w:r>
      <w:r w:rsidRPr="007A39F7">
        <w:rPr>
          <w:b/>
          <w:i/>
          <w:sz w:val="24"/>
          <w:szCs w:val="24"/>
        </w:rPr>
        <w:lastRenderedPageBreak/>
        <w:t>Manufacturer Ltd</w:t>
      </w:r>
      <w:r w:rsidRPr="007A39F7">
        <w:rPr>
          <w:sz w:val="24"/>
          <w:szCs w:val="24"/>
        </w:rPr>
        <w:t xml:space="preserve"> where it was stated that an employer is expected to take all reasonable precautions for the safety of its employees.</w:t>
      </w:r>
    </w:p>
    <w:p w14:paraId="71D2FFC4" w14:textId="77777777" w:rsidR="00A17ECD" w:rsidRPr="007A39F7" w:rsidRDefault="0009574F" w:rsidP="00031AD2">
      <w:pPr>
        <w:spacing w:line="360" w:lineRule="auto"/>
        <w:ind w:left="720" w:firstLine="720"/>
        <w:rPr>
          <w:sz w:val="24"/>
          <w:szCs w:val="24"/>
        </w:rPr>
      </w:pPr>
      <w:r w:rsidRPr="007A39F7">
        <w:rPr>
          <w:sz w:val="24"/>
          <w:szCs w:val="24"/>
        </w:rPr>
        <w:t xml:space="preserve">Also, the harm was foreseeable since they knew that any overload of work would lead to his illness as was seen in the case of </w:t>
      </w:r>
      <w:r w:rsidRPr="007A39F7">
        <w:rPr>
          <w:b/>
          <w:i/>
          <w:sz w:val="24"/>
          <w:szCs w:val="24"/>
        </w:rPr>
        <w:t xml:space="preserve">Bradford v Robinsons Rental CO. Ltd </w:t>
      </w:r>
      <w:r w:rsidRPr="007A39F7">
        <w:rPr>
          <w:sz w:val="24"/>
          <w:szCs w:val="24"/>
        </w:rPr>
        <w:t>where the plaintiff was exposed to harsh working conditions of frost and fatigue.</w:t>
      </w:r>
    </w:p>
    <w:p w14:paraId="46AAF9DD" w14:textId="77777777" w:rsidR="00C55E4F" w:rsidRPr="007A39F7" w:rsidRDefault="0009574F" w:rsidP="00031AD2">
      <w:pPr>
        <w:spacing w:line="360" w:lineRule="auto"/>
        <w:ind w:left="720" w:firstLine="720"/>
        <w:rPr>
          <w:sz w:val="24"/>
          <w:szCs w:val="24"/>
        </w:rPr>
      </w:pPr>
      <w:r w:rsidRPr="007A39F7">
        <w:rPr>
          <w:sz w:val="24"/>
          <w:szCs w:val="24"/>
        </w:rPr>
        <w:t xml:space="preserve">Also, the </w:t>
      </w:r>
      <w:r w:rsidRPr="007A39F7">
        <w:rPr>
          <w:b/>
          <w:i/>
          <w:sz w:val="24"/>
          <w:szCs w:val="24"/>
        </w:rPr>
        <w:t xml:space="preserve">Work Injuries Benefits Act </w:t>
      </w:r>
      <w:r w:rsidRPr="007A39F7">
        <w:rPr>
          <w:sz w:val="24"/>
          <w:szCs w:val="24"/>
        </w:rPr>
        <w:t>provides that he is entitled to compensation since the harm comes about when he is in the course of his duty.</w:t>
      </w:r>
    </w:p>
    <w:p w14:paraId="28407046" w14:textId="77777777" w:rsidR="00C55E4F" w:rsidRPr="007A39F7" w:rsidRDefault="0009574F" w:rsidP="00031AD2">
      <w:pPr>
        <w:spacing w:line="360" w:lineRule="auto"/>
        <w:ind w:left="720" w:firstLine="720"/>
        <w:rPr>
          <w:sz w:val="24"/>
          <w:szCs w:val="24"/>
        </w:rPr>
      </w:pPr>
      <w:r w:rsidRPr="007A39F7">
        <w:rPr>
          <w:sz w:val="24"/>
          <w:szCs w:val="24"/>
        </w:rPr>
        <w:t xml:space="preserve">The psychiatric injury suffered id reasonably foreseeable as was held in </w:t>
      </w:r>
      <w:r w:rsidRPr="007A39F7">
        <w:rPr>
          <w:b/>
          <w:i/>
          <w:sz w:val="24"/>
          <w:szCs w:val="24"/>
        </w:rPr>
        <w:t>Koehler v Cerebos Australia Ltd.</w:t>
      </w:r>
      <w:r w:rsidRPr="007A39F7">
        <w:rPr>
          <w:sz w:val="24"/>
          <w:szCs w:val="24"/>
        </w:rPr>
        <w:t xml:space="preserve"> This is because the employer was negligent, leading to the breach causing the harm. The manager had been informed of Dr Grimes health condition but did not work on it. </w:t>
      </w:r>
    </w:p>
    <w:p w14:paraId="4B1FF0DD" w14:textId="77777777" w:rsidR="00C55E4F" w:rsidRPr="007A39F7" w:rsidRDefault="0009574F" w:rsidP="00031AD2">
      <w:pPr>
        <w:spacing w:line="360" w:lineRule="auto"/>
        <w:ind w:left="720" w:firstLine="720"/>
        <w:rPr>
          <w:b/>
          <w:sz w:val="24"/>
          <w:szCs w:val="24"/>
        </w:rPr>
      </w:pPr>
      <w:r w:rsidRPr="007A39F7">
        <w:rPr>
          <w:b/>
          <w:sz w:val="24"/>
          <w:szCs w:val="24"/>
        </w:rPr>
        <w:t>CONCLUSION</w:t>
      </w:r>
    </w:p>
    <w:p w14:paraId="23683A69" w14:textId="1DDE0BDB" w:rsidR="00C55E4F" w:rsidRPr="007A39F7" w:rsidRDefault="0009574F" w:rsidP="00031AD2">
      <w:pPr>
        <w:spacing w:line="360" w:lineRule="auto"/>
        <w:ind w:left="720" w:firstLine="720"/>
        <w:rPr>
          <w:sz w:val="24"/>
          <w:szCs w:val="24"/>
        </w:rPr>
      </w:pPr>
      <w:r w:rsidRPr="007A39F7">
        <w:rPr>
          <w:sz w:val="24"/>
          <w:szCs w:val="24"/>
        </w:rPr>
        <w:t>From the preceding, it is clear that the employer was negligent leading to the breach; hence the psychiatric harm suffered by Dr Grimes. The damage could be prevented if there was reasonable care, that is no overwork. Also, the hospital would have put in place measures to avoid the risk of injury from occurring.</w:t>
      </w:r>
    </w:p>
    <w:p w14:paraId="34196D09" w14:textId="77777777" w:rsidR="00031AD2" w:rsidRPr="007A39F7" w:rsidRDefault="00031AD2" w:rsidP="00031AD2">
      <w:pPr>
        <w:spacing w:line="360" w:lineRule="auto"/>
        <w:ind w:left="720" w:firstLine="720"/>
        <w:rPr>
          <w:sz w:val="24"/>
          <w:szCs w:val="24"/>
        </w:rPr>
      </w:pPr>
    </w:p>
    <w:p w14:paraId="0991B2FD" w14:textId="77777777" w:rsidR="00031AD2" w:rsidRPr="007A39F7" w:rsidRDefault="00031AD2" w:rsidP="00031AD2">
      <w:pPr>
        <w:spacing w:line="360" w:lineRule="auto"/>
        <w:ind w:left="720" w:firstLine="720"/>
        <w:rPr>
          <w:sz w:val="24"/>
          <w:szCs w:val="24"/>
        </w:rPr>
      </w:pPr>
    </w:p>
    <w:p w14:paraId="60F4BA23" w14:textId="77777777" w:rsidR="00031AD2" w:rsidRPr="007A39F7" w:rsidRDefault="00031AD2" w:rsidP="00031AD2">
      <w:pPr>
        <w:spacing w:line="360" w:lineRule="auto"/>
        <w:ind w:left="720" w:firstLine="720"/>
        <w:rPr>
          <w:sz w:val="24"/>
          <w:szCs w:val="24"/>
        </w:rPr>
      </w:pPr>
    </w:p>
    <w:p w14:paraId="34FECCC6" w14:textId="77777777" w:rsidR="00031AD2" w:rsidRPr="007A39F7" w:rsidRDefault="00031AD2" w:rsidP="00031AD2">
      <w:pPr>
        <w:spacing w:line="360" w:lineRule="auto"/>
        <w:ind w:left="720" w:firstLine="720"/>
        <w:rPr>
          <w:sz w:val="24"/>
          <w:szCs w:val="24"/>
        </w:rPr>
      </w:pPr>
    </w:p>
    <w:p w14:paraId="35C59716" w14:textId="77777777" w:rsidR="00031AD2" w:rsidRPr="007A39F7" w:rsidRDefault="00031AD2" w:rsidP="00031AD2">
      <w:pPr>
        <w:spacing w:line="360" w:lineRule="auto"/>
        <w:ind w:left="720" w:firstLine="720"/>
        <w:rPr>
          <w:sz w:val="24"/>
          <w:szCs w:val="24"/>
        </w:rPr>
      </w:pPr>
    </w:p>
    <w:p w14:paraId="136C67FD" w14:textId="77777777" w:rsidR="00031AD2" w:rsidRPr="007A39F7" w:rsidRDefault="00031AD2" w:rsidP="00031AD2">
      <w:pPr>
        <w:spacing w:line="360" w:lineRule="auto"/>
        <w:ind w:left="720" w:firstLine="720"/>
        <w:rPr>
          <w:sz w:val="24"/>
          <w:szCs w:val="24"/>
        </w:rPr>
      </w:pPr>
    </w:p>
    <w:p w14:paraId="24BA642F" w14:textId="77777777" w:rsidR="00031AD2" w:rsidRPr="007A39F7" w:rsidRDefault="00031AD2" w:rsidP="00031AD2">
      <w:pPr>
        <w:spacing w:line="360" w:lineRule="auto"/>
        <w:ind w:left="720" w:firstLine="720"/>
        <w:rPr>
          <w:sz w:val="24"/>
          <w:szCs w:val="24"/>
        </w:rPr>
      </w:pPr>
    </w:p>
    <w:p w14:paraId="72D301A9" w14:textId="12BD2711" w:rsidR="00031AD2" w:rsidRPr="007A39F7" w:rsidRDefault="00031AD2" w:rsidP="00031AD2">
      <w:pPr>
        <w:spacing w:line="360" w:lineRule="auto"/>
        <w:ind w:left="720" w:firstLine="720"/>
        <w:rPr>
          <w:sz w:val="24"/>
          <w:szCs w:val="24"/>
        </w:rPr>
      </w:pPr>
    </w:p>
    <w:p w14:paraId="7D90609C" w14:textId="26D72BAC" w:rsidR="001F2964" w:rsidRPr="007A39F7" w:rsidRDefault="001F2964" w:rsidP="00031AD2">
      <w:pPr>
        <w:spacing w:line="360" w:lineRule="auto"/>
        <w:ind w:left="720" w:firstLine="720"/>
        <w:rPr>
          <w:sz w:val="24"/>
          <w:szCs w:val="24"/>
        </w:rPr>
      </w:pPr>
    </w:p>
    <w:p w14:paraId="27B327A6" w14:textId="77777777" w:rsidR="001F2964" w:rsidRPr="007A39F7" w:rsidRDefault="001F2964" w:rsidP="00031AD2">
      <w:pPr>
        <w:spacing w:line="360" w:lineRule="auto"/>
        <w:ind w:left="720" w:firstLine="720"/>
        <w:rPr>
          <w:sz w:val="24"/>
          <w:szCs w:val="24"/>
        </w:rPr>
      </w:pPr>
    </w:p>
    <w:p w14:paraId="55943D4C" w14:textId="77777777" w:rsidR="00031AD2" w:rsidRPr="007A39F7" w:rsidRDefault="00031AD2" w:rsidP="00031AD2">
      <w:pPr>
        <w:spacing w:line="360" w:lineRule="auto"/>
        <w:ind w:left="720" w:firstLine="720"/>
        <w:rPr>
          <w:sz w:val="24"/>
          <w:szCs w:val="24"/>
        </w:rPr>
      </w:pPr>
    </w:p>
    <w:p w14:paraId="3016CA95" w14:textId="77777777" w:rsidR="00031AD2" w:rsidRPr="007A39F7" w:rsidRDefault="00031AD2" w:rsidP="00031AD2">
      <w:pPr>
        <w:spacing w:line="360" w:lineRule="auto"/>
        <w:ind w:left="720" w:firstLine="720"/>
        <w:rPr>
          <w:sz w:val="24"/>
          <w:szCs w:val="24"/>
        </w:rPr>
      </w:pPr>
    </w:p>
    <w:p w14:paraId="78216C1F" w14:textId="77777777" w:rsidR="00031AD2" w:rsidRPr="007A39F7" w:rsidRDefault="00031AD2" w:rsidP="00031AD2">
      <w:pPr>
        <w:spacing w:line="360" w:lineRule="auto"/>
        <w:ind w:left="720" w:firstLine="720"/>
        <w:rPr>
          <w:sz w:val="24"/>
          <w:szCs w:val="24"/>
        </w:rPr>
      </w:pPr>
    </w:p>
    <w:p w14:paraId="6A7990D8" w14:textId="50950886" w:rsidR="00031AD2" w:rsidRPr="007A39F7" w:rsidRDefault="00031AD2" w:rsidP="00031AD2">
      <w:pPr>
        <w:spacing w:line="360" w:lineRule="auto"/>
        <w:ind w:left="720" w:firstLine="720"/>
        <w:rPr>
          <w:sz w:val="24"/>
          <w:szCs w:val="24"/>
        </w:rPr>
      </w:pPr>
      <w:r w:rsidRPr="007A39F7">
        <w:rPr>
          <w:sz w:val="24"/>
          <w:szCs w:val="24"/>
        </w:rPr>
        <w:t xml:space="preserve">                                                </w:t>
      </w:r>
      <w:r w:rsidR="007A39F7" w:rsidRPr="007A39F7">
        <w:rPr>
          <w:sz w:val="24"/>
          <w:szCs w:val="24"/>
        </w:rPr>
        <w:t xml:space="preserve">Bibliography </w:t>
      </w:r>
    </w:p>
    <w:p w14:paraId="0074DE04" w14:textId="2E830177" w:rsidR="007A39F7" w:rsidRDefault="007A39F7" w:rsidP="007A39F7">
      <w:pPr>
        <w:spacing w:line="360" w:lineRule="auto"/>
        <w:rPr>
          <w:sz w:val="24"/>
          <w:szCs w:val="24"/>
        </w:rPr>
      </w:pPr>
      <w:r w:rsidRPr="007A39F7">
        <w:rPr>
          <w:sz w:val="24"/>
          <w:szCs w:val="24"/>
        </w:rPr>
        <w:t>Cases</w:t>
      </w:r>
    </w:p>
    <w:p w14:paraId="72DC0420" w14:textId="7D972DEA" w:rsidR="007A39F7" w:rsidRPr="007A39F7" w:rsidRDefault="007A39F7" w:rsidP="007A39F7">
      <w:pPr>
        <w:spacing w:line="360" w:lineRule="auto"/>
        <w:rPr>
          <w:sz w:val="24"/>
          <w:szCs w:val="24"/>
        </w:rPr>
      </w:pPr>
      <w:r>
        <w:rPr>
          <w:rFonts w:ascii="Arial" w:hAnsi="Arial" w:cs="Arial"/>
          <w:i/>
          <w:iCs/>
          <w:color w:val="222222"/>
          <w:sz w:val="20"/>
          <w:szCs w:val="20"/>
          <w:shd w:val="clear" w:color="auto" w:fill="FFFFFF"/>
        </w:rPr>
        <w:t>Donoghue v. Stevenson</w:t>
      </w:r>
      <w:r>
        <w:rPr>
          <w:rFonts w:ascii="Arial" w:hAnsi="Arial" w:cs="Arial"/>
          <w:color w:val="222222"/>
          <w:sz w:val="20"/>
          <w:szCs w:val="20"/>
          <w:shd w:val="clear" w:color="auto" w:fill="FFFFFF"/>
        </w:rPr>
        <w:t>, 108 L.Q.R. 236, 108 Law Quarterly Review 236 (1992).</w:t>
      </w:r>
    </w:p>
    <w:p w14:paraId="0CC7E549" w14:textId="6BB3C795" w:rsidR="007A39F7" w:rsidRPr="007A39F7" w:rsidRDefault="007A39F7" w:rsidP="007A39F7">
      <w:pPr>
        <w:spacing w:line="360" w:lineRule="auto"/>
        <w:rPr>
          <w:sz w:val="24"/>
          <w:szCs w:val="24"/>
        </w:rPr>
      </w:pPr>
    </w:p>
    <w:p w14:paraId="1933E1BC" w14:textId="77777777" w:rsidR="007A39F7" w:rsidRPr="007A39F7" w:rsidRDefault="007A39F7" w:rsidP="007A39F7">
      <w:pPr>
        <w:spacing w:line="360" w:lineRule="auto"/>
        <w:rPr>
          <w:sz w:val="24"/>
          <w:szCs w:val="24"/>
        </w:rPr>
      </w:pPr>
      <w:r w:rsidRPr="007A39F7">
        <w:rPr>
          <w:sz w:val="24"/>
          <w:szCs w:val="24"/>
        </w:rPr>
        <w:t>Legislation</w:t>
      </w:r>
    </w:p>
    <w:p w14:paraId="7FFBE957" w14:textId="77777777" w:rsidR="007A39F7" w:rsidRPr="007A39F7" w:rsidRDefault="007A39F7" w:rsidP="007A39F7">
      <w:pPr>
        <w:spacing w:line="360" w:lineRule="auto"/>
        <w:rPr>
          <w:sz w:val="24"/>
          <w:szCs w:val="24"/>
        </w:rPr>
      </w:pPr>
    </w:p>
    <w:p w14:paraId="72331F9A" w14:textId="3E6926F8" w:rsidR="007A39F7" w:rsidRPr="007A39F7" w:rsidRDefault="007A39F7" w:rsidP="007A39F7">
      <w:pPr>
        <w:spacing w:line="360" w:lineRule="auto"/>
        <w:rPr>
          <w:sz w:val="24"/>
          <w:szCs w:val="24"/>
        </w:rPr>
      </w:pPr>
      <w:r w:rsidRPr="007A39F7">
        <w:rPr>
          <w:sz w:val="24"/>
          <w:szCs w:val="24"/>
        </w:rPr>
        <w:t xml:space="preserve">Secondary sources </w:t>
      </w:r>
    </w:p>
    <w:p w14:paraId="71E51AE0" w14:textId="4F1C45DD" w:rsidR="006440A0" w:rsidRPr="007A39F7" w:rsidRDefault="006440A0" w:rsidP="00911D38">
      <w:pPr>
        <w:spacing w:after="0" w:line="360" w:lineRule="auto"/>
        <w:ind w:left="720" w:hanging="720"/>
        <w:rPr>
          <w:rFonts w:eastAsia="Times New Roman" w:cstheme="minorHAnsi"/>
          <w:sz w:val="24"/>
          <w:szCs w:val="24"/>
          <w:lang w:val="en-GB" w:eastAsia="en-GB"/>
        </w:rPr>
      </w:pPr>
      <w:r w:rsidRPr="007A39F7">
        <w:rPr>
          <w:sz w:val="24"/>
          <w:szCs w:val="24"/>
        </w:rPr>
        <w:t xml:space="preserve">Brazier, M. (2003). </w:t>
      </w:r>
      <w:r w:rsidRPr="007A39F7">
        <w:rPr>
          <w:i/>
          <w:iCs/>
          <w:sz w:val="24"/>
          <w:szCs w:val="24"/>
        </w:rPr>
        <w:t>Medicine, Patients and the Law</w:t>
      </w:r>
      <w:r w:rsidRPr="007A39F7">
        <w:rPr>
          <w:sz w:val="24"/>
          <w:szCs w:val="24"/>
        </w:rPr>
        <w:t>. Third Edition, Harmondsworth: Penguin Books</w:t>
      </w:r>
    </w:p>
    <w:p w14:paraId="31204584" w14:textId="6308C4AB" w:rsidR="00911D38" w:rsidRPr="007A39F7" w:rsidRDefault="00911D38" w:rsidP="00911D38">
      <w:pPr>
        <w:spacing w:after="0" w:line="360" w:lineRule="auto"/>
        <w:ind w:left="720" w:hanging="720"/>
        <w:rPr>
          <w:rFonts w:eastAsia="Times New Roman" w:cstheme="minorHAnsi"/>
          <w:sz w:val="24"/>
          <w:szCs w:val="24"/>
          <w:lang w:val="en-GB" w:eastAsia="en-GB"/>
        </w:rPr>
      </w:pPr>
      <w:r w:rsidRPr="007A39F7">
        <w:rPr>
          <w:rFonts w:eastAsia="Times New Roman" w:cstheme="minorHAnsi"/>
          <w:sz w:val="24"/>
          <w:szCs w:val="24"/>
          <w:lang w:val="en-GB" w:eastAsia="en-GB"/>
        </w:rPr>
        <w:t xml:space="preserve">Cairney, P., </w:t>
      </w:r>
      <w:proofErr w:type="spellStart"/>
      <w:r w:rsidRPr="007A39F7">
        <w:rPr>
          <w:rFonts w:eastAsia="Times New Roman" w:cstheme="minorHAnsi"/>
          <w:sz w:val="24"/>
          <w:szCs w:val="24"/>
          <w:lang w:val="en-GB" w:eastAsia="en-GB"/>
        </w:rPr>
        <w:t>McHarg</w:t>
      </w:r>
      <w:proofErr w:type="spellEnd"/>
      <w:r w:rsidRPr="007A39F7">
        <w:rPr>
          <w:rFonts w:eastAsia="Times New Roman" w:cstheme="minorHAnsi"/>
          <w:sz w:val="24"/>
          <w:szCs w:val="24"/>
          <w:lang w:val="en-GB" w:eastAsia="en-GB"/>
        </w:rPr>
        <w:t xml:space="preserve">, A., McEwen, N., &amp; Turner, K. (2019). How to conceptualise energy law and policy for an interdisciplinary audience: The case of post-Brexit UK. </w:t>
      </w:r>
      <w:r w:rsidRPr="007A39F7">
        <w:rPr>
          <w:rFonts w:eastAsia="Times New Roman" w:cstheme="minorHAnsi"/>
          <w:i/>
          <w:iCs/>
          <w:sz w:val="24"/>
          <w:szCs w:val="24"/>
          <w:lang w:val="en-GB" w:eastAsia="en-GB"/>
        </w:rPr>
        <w:t>Energy policy</w:t>
      </w:r>
      <w:r w:rsidRPr="007A39F7">
        <w:rPr>
          <w:rFonts w:eastAsia="Times New Roman" w:cstheme="minorHAnsi"/>
          <w:sz w:val="24"/>
          <w:szCs w:val="24"/>
          <w:lang w:val="en-GB" w:eastAsia="en-GB"/>
        </w:rPr>
        <w:t xml:space="preserve">, </w:t>
      </w:r>
      <w:r w:rsidRPr="007A39F7">
        <w:rPr>
          <w:rFonts w:eastAsia="Times New Roman" w:cstheme="minorHAnsi"/>
          <w:i/>
          <w:iCs/>
          <w:sz w:val="24"/>
          <w:szCs w:val="24"/>
          <w:lang w:val="en-GB" w:eastAsia="en-GB"/>
        </w:rPr>
        <w:t>129</w:t>
      </w:r>
      <w:r w:rsidRPr="007A39F7">
        <w:rPr>
          <w:rFonts w:eastAsia="Times New Roman" w:cstheme="minorHAnsi"/>
          <w:sz w:val="24"/>
          <w:szCs w:val="24"/>
          <w:lang w:val="en-GB" w:eastAsia="en-GB"/>
        </w:rPr>
        <w:t>, 459-466.</w:t>
      </w:r>
    </w:p>
    <w:p w14:paraId="7DF5ED47" w14:textId="38FBF97C" w:rsidR="00911D38" w:rsidRPr="007A39F7" w:rsidRDefault="00911D38" w:rsidP="00911D38">
      <w:pPr>
        <w:spacing w:after="0" w:line="360" w:lineRule="auto"/>
        <w:ind w:left="720" w:hanging="720"/>
        <w:rPr>
          <w:rFonts w:eastAsia="Times New Roman" w:cstheme="minorHAnsi"/>
          <w:sz w:val="24"/>
          <w:szCs w:val="24"/>
          <w:lang w:val="en-GB" w:eastAsia="en-GB"/>
        </w:rPr>
      </w:pPr>
      <w:proofErr w:type="spellStart"/>
      <w:r w:rsidRPr="007A39F7">
        <w:rPr>
          <w:rFonts w:eastAsia="Times New Roman" w:cstheme="minorHAnsi"/>
          <w:sz w:val="24"/>
          <w:szCs w:val="24"/>
          <w:lang w:val="en-GB" w:eastAsia="en-GB"/>
        </w:rPr>
        <w:t>Palombo</w:t>
      </w:r>
      <w:proofErr w:type="spellEnd"/>
      <w:r w:rsidRPr="007A39F7">
        <w:rPr>
          <w:rFonts w:eastAsia="Times New Roman" w:cstheme="minorHAnsi"/>
          <w:sz w:val="24"/>
          <w:szCs w:val="24"/>
          <w:lang w:val="en-GB" w:eastAsia="en-GB"/>
        </w:rPr>
        <w:t xml:space="preserve">, D. (2019). The duty of care of the parent company: A comparison between French law, UK precedents and the Swiss proposals. </w:t>
      </w:r>
      <w:r w:rsidRPr="007A39F7">
        <w:rPr>
          <w:rFonts w:eastAsia="Times New Roman" w:cstheme="minorHAnsi"/>
          <w:i/>
          <w:iCs/>
          <w:sz w:val="24"/>
          <w:szCs w:val="24"/>
          <w:lang w:val="en-GB" w:eastAsia="en-GB"/>
        </w:rPr>
        <w:t>Business and Human Rights Journal</w:t>
      </w:r>
      <w:r w:rsidRPr="007A39F7">
        <w:rPr>
          <w:rFonts w:eastAsia="Times New Roman" w:cstheme="minorHAnsi"/>
          <w:sz w:val="24"/>
          <w:szCs w:val="24"/>
          <w:lang w:val="en-GB" w:eastAsia="en-GB"/>
        </w:rPr>
        <w:t xml:space="preserve">, </w:t>
      </w:r>
      <w:r w:rsidRPr="007A39F7">
        <w:rPr>
          <w:rFonts w:eastAsia="Times New Roman" w:cstheme="minorHAnsi"/>
          <w:i/>
          <w:iCs/>
          <w:sz w:val="24"/>
          <w:szCs w:val="24"/>
          <w:lang w:val="en-GB" w:eastAsia="en-GB"/>
        </w:rPr>
        <w:t>4</w:t>
      </w:r>
      <w:r w:rsidRPr="007A39F7">
        <w:rPr>
          <w:rFonts w:eastAsia="Times New Roman" w:cstheme="minorHAnsi"/>
          <w:sz w:val="24"/>
          <w:szCs w:val="24"/>
          <w:lang w:val="en-GB" w:eastAsia="en-GB"/>
        </w:rPr>
        <w:t>(2), 265-286.</w:t>
      </w:r>
    </w:p>
    <w:p w14:paraId="706F3589" w14:textId="0F29F383" w:rsidR="00911D38" w:rsidRPr="007A39F7" w:rsidRDefault="00D415A1" w:rsidP="00911D38">
      <w:pPr>
        <w:spacing w:after="0" w:line="360" w:lineRule="auto"/>
        <w:ind w:left="720" w:hanging="720"/>
        <w:rPr>
          <w:rFonts w:eastAsia="Times New Roman" w:cstheme="minorHAnsi"/>
          <w:sz w:val="24"/>
          <w:szCs w:val="24"/>
          <w:lang w:val="en-GB" w:eastAsia="en-GB"/>
        </w:rPr>
      </w:pPr>
      <w:r w:rsidRPr="007A39F7">
        <w:rPr>
          <w:rStyle w:val="HTMLCite"/>
          <w:sz w:val="24"/>
          <w:szCs w:val="24"/>
        </w:rPr>
        <w:t xml:space="preserve">Taylor, Martin R. (2004). </w:t>
      </w:r>
      <w:hyperlink r:id="rId16" w:history="1">
        <w:r w:rsidRPr="007A39F7">
          <w:rPr>
            <w:rStyle w:val="Hyperlink"/>
            <w:color w:val="auto"/>
            <w:sz w:val="24"/>
            <w:szCs w:val="24"/>
            <w:u w:val="none"/>
          </w:rPr>
          <w:t>"</w:t>
        </w:r>
        <w:proofErr w:type="spellStart"/>
        <w:r w:rsidRPr="007A39F7">
          <w:rPr>
            <w:rStyle w:val="Hyperlink"/>
            <w:color w:val="auto"/>
            <w:sz w:val="24"/>
            <w:szCs w:val="24"/>
            <w:u w:val="none"/>
          </w:rPr>
          <w:t>Mrs</w:t>
        </w:r>
        <w:proofErr w:type="spellEnd"/>
        <w:r w:rsidRPr="007A39F7">
          <w:rPr>
            <w:rStyle w:val="Hyperlink"/>
            <w:color w:val="auto"/>
            <w:sz w:val="24"/>
            <w:szCs w:val="24"/>
            <w:u w:val="none"/>
          </w:rPr>
          <w:t xml:space="preserve"> Donoghue's Journey"</w:t>
        </w:r>
      </w:hyperlink>
      <w:r w:rsidRPr="007A39F7">
        <w:rPr>
          <w:rStyle w:val="HTMLCite"/>
          <w:sz w:val="24"/>
          <w:szCs w:val="24"/>
        </w:rPr>
        <w:t xml:space="preserve">. Donoghue v Stevenson Digital Resources. </w:t>
      </w:r>
      <w:hyperlink r:id="rId17" w:tooltip="Scottish Council of Law Reporting (page does not exist)" w:history="1">
        <w:r w:rsidRPr="007A39F7">
          <w:rPr>
            <w:rStyle w:val="Hyperlink"/>
            <w:color w:val="auto"/>
            <w:sz w:val="24"/>
            <w:szCs w:val="24"/>
            <w:u w:val="none"/>
          </w:rPr>
          <w:t>Scottish Council of Law Reporting</w:t>
        </w:r>
      </w:hyperlink>
      <w:r w:rsidRPr="007A39F7">
        <w:rPr>
          <w:rStyle w:val="reference-accessdate"/>
          <w:sz w:val="24"/>
          <w:szCs w:val="24"/>
        </w:rPr>
        <w:t>.</w:t>
      </w:r>
      <w:r w:rsidRPr="007A39F7">
        <w:rPr>
          <w:rStyle w:val="reference-accessdate"/>
          <w:i/>
          <w:iCs/>
          <w:sz w:val="24"/>
          <w:szCs w:val="24"/>
        </w:rPr>
        <w:t xml:space="preserve"> Retrieved </w:t>
      </w:r>
      <w:r w:rsidRPr="007A39F7">
        <w:rPr>
          <w:rStyle w:val="nowrap"/>
          <w:i/>
          <w:iCs/>
          <w:sz w:val="24"/>
          <w:szCs w:val="24"/>
        </w:rPr>
        <w:t>7 September</w:t>
      </w:r>
      <w:r w:rsidRPr="007A39F7">
        <w:rPr>
          <w:rStyle w:val="reference-accessdate"/>
          <w:i/>
          <w:iCs/>
          <w:sz w:val="24"/>
          <w:szCs w:val="24"/>
        </w:rPr>
        <w:t xml:space="preserve"> 2012</w:t>
      </w:r>
      <w:r w:rsidRPr="007A39F7">
        <w:rPr>
          <w:rStyle w:val="HTMLCite"/>
          <w:sz w:val="24"/>
          <w:szCs w:val="24"/>
        </w:rPr>
        <w:t>.</w:t>
      </w:r>
    </w:p>
    <w:p w14:paraId="1638E562" w14:textId="0FD47E03" w:rsidR="00911D38" w:rsidRPr="007A39F7" w:rsidRDefault="00911D38" w:rsidP="00911D38">
      <w:pPr>
        <w:spacing w:after="0" w:line="360" w:lineRule="auto"/>
        <w:ind w:left="720" w:hanging="720"/>
        <w:rPr>
          <w:rFonts w:eastAsia="Times New Roman" w:cstheme="minorHAnsi"/>
          <w:sz w:val="24"/>
          <w:szCs w:val="24"/>
          <w:lang w:val="en-GB" w:eastAsia="en-GB"/>
        </w:rPr>
      </w:pPr>
      <w:r w:rsidRPr="007A39F7">
        <w:rPr>
          <w:rFonts w:eastAsia="Times New Roman" w:cstheme="minorHAnsi"/>
          <w:sz w:val="24"/>
          <w:szCs w:val="24"/>
          <w:lang w:val="en-GB" w:eastAsia="en-GB"/>
        </w:rPr>
        <w:t xml:space="preserve">Waterson, P. (2020). Causation, levels of analysis and explanation in systems ergonomics–A closer look at the UK NHS Morecambe Bay Investigation. </w:t>
      </w:r>
      <w:r w:rsidRPr="007A39F7">
        <w:rPr>
          <w:rFonts w:eastAsia="Times New Roman" w:cstheme="minorHAnsi"/>
          <w:i/>
          <w:iCs/>
          <w:sz w:val="24"/>
          <w:szCs w:val="24"/>
          <w:lang w:val="en-GB" w:eastAsia="en-GB"/>
        </w:rPr>
        <w:t>Applied Ergonomics</w:t>
      </w:r>
      <w:r w:rsidRPr="007A39F7">
        <w:rPr>
          <w:rFonts w:eastAsia="Times New Roman" w:cstheme="minorHAnsi"/>
          <w:sz w:val="24"/>
          <w:szCs w:val="24"/>
          <w:lang w:val="en-GB" w:eastAsia="en-GB"/>
        </w:rPr>
        <w:t xml:space="preserve">, </w:t>
      </w:r>
      <w:r w:rsidRPr="007A39F7">
        <w:rPr>
          <w:rFonts w:eastAsia="Times New Roman" w:cstheme="minorHAnsi"/>
          <w:i/>
          <w:iCs/>
          <w:sz w:val="24"/>
          <w:szCs w:val="24"/>
          <w:lang w:val="en-GB" w:eastAsia="en-GB"/>
        </w:rPr>
        <w:t>84</w:t>
      </w:r>
      <w:r w:rsidRPr="007A39F7">
        <w:rPr>
          <w:rFonts w:eastAsia="Times New Roman" w:cstheme="minorHAnsi"/>
          <w:sz w:val="24"/>
          <w:szCs w:val="24"/>
          <w:lang w:val="en-GB" w:eastAsia="en-GB"/>
        </w:rPr>
        <w:t>, 103011.</w:t>
      </w:r>
    </w:p>
    <w:p w14:paraId="533DAF60" w14:textId="576F90D3" w:rsidR="00911D38" w:rsidRPr="007A39F7" w:rsidRDefault="00D415A1" w:rsidP="00911D38">
      <w:pPr>
        <w:spacing w:after="0" w:line="360" w:lineRule="auto"/>
        <w:ind w:left="720" w:hanging="720"/>
        <w:rPr>
          <w:rFonts w:eastAsia="Times New Roman" w:cstheme="minorHAnsi"/>
          <w:sz w:val="24"/>
          <w:szCs w:val="24"/>
          <w:lang w:val="en-GB" w:eastAsia="en-GB"/>
        </w:rPr>
      </w:pPr>
      <w:proofErr w:type="spellStart"/>
      <w:r w:rsidRPr="007A39F7">
        <w:rPr>
          <w:rStyle w:val="HTMLCite"/>
          <w:sz w:val="24"/>
          <w:szCs w:val="24"/>
        </w:rPr>
        <w:t>Weinrib</w:t>
      </w:r>
      <w:proofErr w:type="spellEnd"/>
      <w:r w:rsidRPr="007A39F7">
        <w:rPr>
          <w:rStyle w:val="HTMLCite"/>
          <w:sz w:val="24"/>
          <w:szCs w:val="24"/>
        </w:rPr>
        <w:t xml:space="preserve">, Ernest (1975). "A Step Forward in Factual Causation". The Modern Law Review. </w:t>
      </w:r>
      <w:r w:rsidRPr="007A39F7">
        <w:rPr>
          <w:rStyle w:val="HTMLCite"/>
          <w:b/>
          <w:bCs/>
          <w:sz w:val="24"/>
          <w:szCs w:val="24"/>
        </w:rPr>
        <w:t>38</w:t>
      </w:r>
      <w:r w:rsidRPr="007A39F7">
        <w:rPr>
          <w:rStyle w:val="HTMLCite"/>
          <w:sz w:val="24"/>
          <w:szCs w:val="24"/>
        </w:rPr>
        <w:t xml:space="preserve"> (5): 518–534</w:t>
      </w:r>
    </w:p>
    <w:p w14:paraId="077DA52F" w14:textId="783D94E1" w:rsidR="00911D38" w:rsidRPr="007A39F7" w:rsidRDefault="00911D38" w:rsidP="00911D38">
      <w:pPr>
        <w:spacing w:after="0" w:line="360" w:lineRule="auto"/>
        <w:ind w:left="720" w:hanging="720"/>
        <w:rPr>
          <w:rFonts w:eastAsia="Times New Roman" w:cstheme="minorHAnsi"/>
          <w:sz w:val="24"/>
          <w:szCs w:val="24"/>
          <w:lang w:val="en-GB" w:eastAsia="en-GB"/>
        </w:rPr>
      </w:pPr>
      <w:r w:rsidRPr="007A39F7">
        <w:rPr>
          <w:rFonts w:eastAsia="Times New Roman" w:cstheme="minorHAnsi"/>
          <w:sz w:val="24"/>
          <w:szCs w:val="24"/>
          <w:lang w:val="en-GB" w:eastAsia="en-GB"/>
        </w:rPr>
        <w:lastRenderedPageBreak/>
        <w:t>Woods, L., &amp; Perrin, W. (2019). Online harm reduction–a statutory duty of care and regulator.</w:t>
      </w:r>
    </w:p>
    <w:p w14:paraId="33389B52" w14:textId="4B70F27A" w:rsidR="006F0E66" w:rsidRPr="007A39F7" w:rsidRDefault="0009574F" w:rsidP="00911D38">
      <w:pPr>
        <w:spacing w:line="360" w:lineRule="auto"/>
        <w:rPr>
          <w:sz w:val="24"/>
          <w:szCs w:val="24"/>
        </w:rPr>
      </w:pPr>
      <w:r w:rsidRPr="007A39F7">
        <w:rPr>
          <w:sz w:val="24"/>
          <w:szCs w:val="24"/>
        </w:rPr>
        <w:t xml:space="preserve"> </w:t>
      </w:r>
      <w:r w:rsidRPr="007A39F7">
        <w:rPr>
          <w:b/>
          <w:sz w:val="24"/>
          <w:szCs w:val="24"/>
        </w:rPr>
        <w:t xml:space="preserve"> </w:t>
      </w:r>
    </w:p>
    <w:sectPr w:rsidR="006F0E66" w:rsidRPr="007A39F7" w:rsidSect="00270331">
      <w:pgSz w:w="11907" w:h="16839" w:code="9"/>
      <w:pgMar w:top="1440" w:right="1440" w:bottom="1440" w:left="1440" w:header="720" w:footer="10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7C7A45" w14:textId="77777777" w:rsidR="0056291E" w:rsidRDefault="0056291E" w:rsidP="009A0814">
      <w:pPr>
        <w:spacing w:after="0" w:line="240" w:lineRule="auto"/>
      </w:pPr>
      <w:r>
        <w:separator/>
      </w:r>
    </w:p>
  </w:endnote>
  <w:endnote w:type="continuationSeparator" w:id="0">
    <w:p w14:paraId="602AF438" w14:textId="77777777" w:rsidR="0056291E" w:rsidRDefault="0056291E" w:rsidP="009A0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4433838"/>
      <w:docPartObj>
        <w:docPartGallery w:val="Page Numbers (Bottom of Page)"/>
        <w:docPartUnique/>
      </w:docPartObj>
    </w:sdtPr>
    <w:sdtEndPr>
      <w:rPr>
        <w:noProof/>
      </w:rPr>
    </w:sdtEndPr>
    <w:sdtContent>
      <w:p w14:paraId="79E7CB7B" w14:textId="77777777" w:rsidR="009A0814" w:rsidRDefault="009A081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76317B" w14:textId="77777777" w:rsidR="009A0814" w:rsidRDefault="009A08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2AA267" w14:textId="36A50BCE" w:rsidR="00A75D5E" w:rsidRDefault="00A75D5E" w:rsidP="00A75D5E">
    <w:pPr>
      <w:pStyle w:val="Footer"/>
      <w:jc w:val="right"/>
    </w:pPr>
    <w: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291787"/>
      <w:docPartObj>
        <w:docPartGallery w:val="Page Numbers (Bottom of Page)"/>
        <w:docPartUnique/>
      </w:docPartObj>
    </w:sdtPr>
    <w:sdtEndPr>
      <w:rPr>
        <w:noProof/>
      </w:rPr>
    </w:sdtEndPr>
    <w:sdtContent>
      <w:p w14:paraId="5D86E629" w14:textId="77777777" w:rsidR="00A32C85" w:rsidRDefault="00A32C8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388D09" w14:textId="77777777" w:rsidR="00A32C85" w:rsidRDefault="00A32C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A64FF8" w14:textId="77777777" w:rsidR="00270331" w:rsidRDefault="00270331" w:rsidP="00270331">
    <w:pPr>
      <w:pStyle w:val="FootnoteText"/>
    </w:pPr>
    <w:r>
      <w:rPr>
        <w:rStyle w:val="FootnoteReference"/>
      </w:rPr>
      <w:footnoteRef/>
    </w:r>
    <w:r>
      <w:t xml:space="preserve"> </w:t>
    </w:r>
    <w:r>
      <w:rPr>
        <w:rFonts w:ascii="Arial" w:hAnsi="Arial" w:cs="Arial"/>
        <w:i/>
        <w:iCs/>
        <w:color w:val="222222"/>
        <w:shd w:val="clear" w:color="auto" w:fill="FFFFFF"/>
      </w:rPr>
      <w:t>Donoghue v. Stevenson</w:t>
    </w:r>
    <w:r>
      <w:rPr>
        <w:rFonts w:ascii="Arial" w:hAnsi="Arial" w:cs="Arial"/>
        <w:color w:val="222222"/>
        <w:shd w:val="clear" w:color="auto" w:fill="FFFFFF"/>
      </w:rPr>
      <w:t>, 108 L.Q.R. 236, 108 Law Quarterly Review 236 (1992).</w:t>
    </w:r>
  </w:p>
  <w:p w14:paraId="42BEF31D" w14:textId="61D73202" w:rsidR="00270331" w:rsidRDefault="002703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A04348" w14:textId="77777777" w:rsidR="0056291E" w:rsidRDefault="0056291E" w:rsidP="009A0814">
      <w:pPr>
        <w:spacing w:after="0" w:line="240" w:lineRule="auto"/>
      </w:pPr>
      <w:r>
        <w:separator/>
      </w:r>
    </w:p>
  </w:footnote>
  <w:footnote w:type="continuationSeparator" w:id="0">
    <w:p w14:paraId="6F97D937" w14:textId="77777777" w:rsidR="0056291E" w:rsidRDefault="0056291E" w:rsidP="009A0814">
      <w:pPr>
        <w:spacing w:after="0" w:line="240" w:lineRule="auto"/>
      </w:pPr>
      <w:r>
        <w:continuationSeparator/>
      </w:r>
    </w:p>
  </w:footnote>
  <w:footnote w:id="1">
    <w:p w14:paraId="5F30D26F" w14:textId="67902E7D" w:rsidR="007A39F7" w:rsidRDefault="007A39F7" w:rsidP="007A39F7">
      <w:pPr>
        <w:spacing w:after="0" w:line="360" w:lineRule="auto"/>
        <w:ind w:left="720" w:hanging="720"/>
      </w:pPr>
      <w:r>
        <w:rPr>
          <w:rStyle w:val="FootnoteReference"/>
        </w:rPr>
        <w:footnoteRef/>
      </w:r>
      <w:r>
        <w:t xml:space="preserve"> </w:t>
      </w:r>
      <w:r w:rsidRPr="007A39F7">
        <w:rPr>
          <w:rFonts w:eastAsia="Times New Roman" w:cstheme="minorHAnsi"/>
          <w:sz w:val="24"/>
          <w:szCs w:val="24"/>
          <w:lang w:val="en-GB" w:eastAsia="en-GB"/>
        </w:rPr>
        <w:t xml:space="preserve">Cairney, P., </w:t>
      </w:r>
      <w:proofErr w:type="spellStart"/>
      <w:r w:rsidRPr="007A39F7">
        <w:rPr>
          <w:rFonts w:eastAsia="Times New Roman" w:cstheme="minorHAnsi"/>
          <w:sz w:val="24"/>
          <w:szCs w:val="24"/>
          <w:lang w:val="en-GB" w:eastAsia="en-GB"/>
        </w:rPr>
        <w:t>McHarg</w:t>
      </w:r>
      <w:proofErr w:type="spellEnd"/>
      <w:r w:rsidRPr="007A39F7">
        <w:rPr>
          <w:rFonts w:eastAsia="Times New Roman" w:cstheme="minorHAnsi"/>
          <w:sz w:val="24"/>
          <w:szCs w:val="24"/>
          <w:lang w:val="en-GB" w:eastAsia="en-GB"/>
        </w:rPr>
        <w:t xml:space="preserve">, A., McEwen, N., &amp; Turner, K. (2019). How to conceptualise energy law and policy for an interdisciplinary audience: The case of post-Brexit UK. </w:t>
      </w:r>
      <w:r w:rsidRPr="007A39F7">
        <w:rPr>
          <w:rFonts w:eastAsia="Times New Roman" w:cstheme="minorHAnsi"/>
          <w:i/>
          <w:iCs/>
          <w:sz w:val="24"/>
          <w:szCs w:val="24"/>
          <w:lang w:val="en-GB" w:eastAsia="en-GB"/>
        </w:rPr>
        <w:t>Energy policy</w:t>
      </w:r>
      <w:r w:rsidRPr="007A39F7">
        <w:rPr>
          <w:rFonts w:eastAsia="Times New Roman" w:cstheme="minorHAnsi"/>
          <w:sz w:val="24"/>
          <w:szCs w:val="24"/>
          <w:lang w:val="en-GB" w:eastAsia="en-GB"/>
        </w:rPr>
        <w:t xml:space="preserve">, </w:t>
      </w:r>
      <w:r w:rsidRPr="007A39F7">
        <w:rPr>
          <w:rFonts w:eastAsia="Times New Roman" w:cstheme="minorHAnsi"/>
          <w:i/>
          <w:iCs/>
          <w:sz w:val="24"/>
          <w:szCs w:val="24"/>
          <w:lang w:val="en-GB" w:eastAsia="en-GB"/>
        </w:rPr>
        <w:t>129</w:t>
      </w:r>
      <w:r w:rsidRPr="007A39F7">
        <w:rPr>
          <w:rFonts w:eastAsia="Times New Roman" w:cstheme="minorHAnsi"/>
          <w:sz w:val="24"/>
          <w:szCs w:val="24"/>
          <w:lang w:val="en-GB" w:eastAsia="en-GB"/>
        </w:rPr>
        <w:t>, 459-466.</w:t>
      </w:r>
    </w:p>
  </w:footnote>
  <w:footnote w:id="2">
    <w:p w14:paraId="02BA7FDF" w14:textId="7B4D1E66" w:rsidR="007A39F7" w:rsidRDefault="007A39F7">
      <w:pPr>
        <w:pStyle w:val="FootnoteText"/>
      </w:pPr>
      <w:r>
        <w:rPr>
          <w:rStyle w:val="FootnoteReference"/>
        </w:rPr>
        <w:footnoteRef/>
      </w:r>
      <w:r>
        <w:t xml:space="preserve"> </w:t>
      </w:r>
      <w:r>
        <w:rPr>
          <w:rFonts w:ascii="Arial" w:hAnsi="Arial" w:cs="Arial"/>
          <w:i/>
          <w:iCs/>
          <w:color w:val="222222"/>
          <w:shd w:val="clear" w:color="auto" w:fill="FFFFFF"/>
        </w:rPr>
        <w:t>Donoghue v. Stevenson</w:t>
      </w:r>
      <w:r>
        <w:rPr>
          <w:rFonts w:ascii="Arial" w:hAnsi="Arial" w:cs="Arial"/>
          <w:color w:val="222222"/>
          <w:shd w:val="clear" w:color="auto" w:fill="FFFFFF"/>
        </w:rPr>
        <w:t>, 108 L.Q.R. 236, 108 Law Quarterly Review 236 (1992).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77DEB" w14:textId="248E5EA3" w:rsidR="009A0814" w:rsidRDefault="009A0814">
    <w:pPr>
      <w:pStyle w:val="Header"/>
    </w:pPr>
    <w:r>
      <w:t xml:space="preserve">ASSESMENT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09B076" w14:textId="1029F73F" w:rsidR="00031AD2" w:rsidRDefault="00031AD2">
    <w:pPr>
      <w:pStyle w:val="Header"/>
    </w:pPr>
    <w:r>
      <w:t>Running head:                                                                    ASSESMENT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81EA1"/>
    <w:multiLevelType w:val="hybridMultilevel"/>
    <w:tmpl w:val="68E0EDE0"/>
    <w:lvl w:ilvl="0" w:tplc="94040608">
      <w:start w:val="1"/>
      <w:numFmt w:val="decimal"/>
      <w:lvlText w:val="%1."/>
      <w:lvlJc w:val="left"/>
      <w:pPr>
        <w:ind w:left="720" w:hanging="360"/>
      </w:pPr>
      <w:rPr>
        <w:rFonts w:hint="default"/>
      </w:rPr>
    </w:lvl>
    <w:lvl w:ilvl="1" w:tplc="C0F85C60" w:tentative="1">
      <w:start w:val="1"/>
      <w:numFmt w:val="lowerLetter"/>
      <w:lvlText w:val="%2."/>
      <w:lvlJc w:val="left"/>
      <w:pPr>
        <w:ind w:left="1440" w:hanging="360"/>
      </w:pPr>
    </w:lvl>
    <w:lvl w:ilvl="2" w:tplc="60203CA8" w:tentative="1">
      <w:start w:val="1"/>
      <w:numFmt w:val="lowerRoman"/>
      <w:lvlText w:val="%3."/>
      <w:lvlJc w:val="right"/>
      <w:pPr>
        <w:ind w:left="2160" w:hanging="180"/>
      </w:pPr>
    </w:lvl>
    <w:lvl w:ilvl="3" w:tplc="7C3A2E2C" w:tentative="1">
      <w:start w:val="1"/>
      <w:numFmt w:val="decimal"/>
      <w:lvlText w:val="%4."/>
      <w:lvlJc w:val="left"/>
      <w:pPr>
        <w:ind w:left="2880" w:hanging="360"/>
      </w:pPr>
    </w:lvl>
    <w:lvl w:ilvl="4" w:tplc="AD6A621C" w:tentative="1">
      <w:start w:val="1"/>
      <w:numFmt w:val="lowerLetter"/>
      <w:lvlText w:val="%5."/>
      <w:lvlJc w:val="left"/>
      <w:pPr>
        <w:ind w:left="3600" w:hanging="360"/>
      </w:pPr>
    </w:lvl>
    <w:lvl w:ilvl="5" w:tplc="375AC796" w:tentative="1">
      <w:start w:val="1"/>
      <w:numFmt w:val="lowerRoman"/>
      <w:lvlText w:val="%6."/>
      <w:lvlJc w:val="right"/>
      <w:pPr>
        <w:ind w:left="4320" w:hanging="180"/>
      </w:pPr>
    </w:lvl>
    <w:lvl w:ilvl="6" w:tplc="6E529DE4" w:tentative="1">
      <w:start w:val="1"/>
      <w:numFmt w:val="decimal"/>
      <w:lvlText w:val="%7."/>
      <w:lvlJc w:val="left"/>
      <w:pPr>
        <w:ind w:left="5040" w:hanging="360"/>
      </w:pPr>
    </w:lvl>
    <w:lvl w:ilvl="7" w:tplc="BE100B56" w:tentative="1">
      <w:start w:val="1"/>
      <w:numFmt w:val="lowerLetter"/>
      <w:lvlText w:val="%8."/>
      <w:lvlJc w:val="left"/>
      <w:pPr>
        <w:ind w:left="5760" w:hanging="360"/>
      </w:pPr>
    </w:lvl>
    <w:lvl w:ilvl="8" w:tplc="34F05578" w:tentative="1">
      <w:start w:val="1"/>
      <w:numFmt w:val="lowerRoman"/>
      <w:lvlText w:val="%9."/>
      <w:lvlJc w:val="right"/>
      <w:pPr>
        <w:ind w:left="6480" w:hanging="180"/>
      </w:pPr>
    </w:lvl>
  </w:abstractNum>
  <w:abstractNum w:abstractNumId="1" w15:restartNumberingAfterBreak="0">
    <w:nsid w:val="3AAE657D"/>
    <w:multiLevelType w:val="hybridMultilevel"/>
    <w:tmpl w:val="E958592E"/>
    <w:lvl w:ilvl="0" w:tplc="905EEFCE">
      <w:start w:val="1"/>
      <w:numFmt w:val="decimal"/>
      <w:lvlText w:val="%1."/>
      <w:lvlJc w:val="left"/>
      <w:pPr>
        <w:ind w:left="1080" w:hanging="360"/>
      </w:pPr>
      <w:rPr>
        <w:rFonts w:hint="default"/>
      </w:rPr>
    </w:lvl>
    <w:lvl w:ilvl="1" w:tplc="61BCF402" w:tentative="1">
      <w:start w:val="1"/>
      <w:numFmt w:val="lowerLetter"/>
      <w:lvlText w:val="%2."/>
      <w:lvlJc w:val="left"/>
      <w:pPr>
        <w:ind w:left="1800" w:hanging="360"/>
      </w:pPr>
    </w:lvl>
    <w:lvl w:ilvl="2" w:tplc="B240E65E" w:tentative="1">
      <w:start w:val="1"/>
      <w:numFmt w:val="lowerRoman"/>
      <w:lvlText w:val="%3."/>
      <w:lvlJc w:val="right"/>
      <w:pPr>
        <w:ind w:left="2520" w:hanging="180"/>
      </w:pPr>
    </w:lvl>
    <w:lvl w:ilvl="3" w:tplc="30D6CCAC" w:tentative="1">
      <w:start w:val="1"/>
      <w:numFmt w:val="decimal"/>
      <w:lvlText w:val="%4."/>
      <w:lvlJc w:val="left"/>
      <w:pPr>
        <w:ind w:left="3240" w:hanging="360"/>
      </w:pPr>
    </w:lvl>
    <w:lvl w:ilvl="4" w:tplc="908CC6D2" w:tentative="1">
      <w:start w:val="1"/>
      <w:numFmt w:val="lowerLetter"/>
      <w:lvlText w:val="%5."/>
      <w:lvlJc w:val="left"/>
      <w:pPr>
        <w:ind w:left="3960" w:hanging="360"/>
      </w:pPr>
    </w:lvl>
    <w:lvl w:ilvl="5" w:tplc="1018BE44" w:tentative="1">
      <w:start w:val="1"/>
      <w:numFmt w:val="lowerRoman"/>
      <w:lvlText w:val="%6."/>
      <w:lvlJc w:val="right"/>
      <w:pPr>
        <w:ind w:left="4680" w:hanging="180"/>
      </w:pPr>
    </w:lvl>
    <w:lvl w:ilvl="6" w:tplc="A964ED40" w:tentative="1">
      <w:start w:val="1"/>
      <w:numFmt w:val="decimal"/>
      <w:lvlText w:val="%7."/>
      <w:lvlJc w:val="left"/>
      <w:pPr>
        <w:ind w:left="5400" w:hanging="360"/>
      </w:pPr>
    </w:lvl>
    <w:lvl w:ilvl="7" w:tplc="4372FF56" w:tentative="1">
      <w:start w:val="1"/>
      <w:numFmt w:val="lowerLetter"/>
      <w:lvlText w:val="%8."/>
      <w:lvlJc w:val="left"/>
      <w:pPr>
        <w:ind w:left="6120" w:hanging="360"/>
      </w:pPr>
    </w:lvl>
    <w:lvl w:ilvl="8" w:tplc="512218B0" w:tentative="1">
      <w:start w:val="1"/>
      <w:numFmt w:val="lowerRoman"/>
      <w:lvlText w:val="%9."/>
      <w:lvlJc w:val="right"/>
      <w:pPr>
        <w:ind w:left="6840" w:hanging="180"/>
      </w:pPr>
    </w:lvl>
  </w:abstractNum>
  <w:abstractNum w:abstractNumId="2" w15:restartNumberingAfterBreak="0">
    <w:nsid w:val="452739C8"/>
    <w:multiLevelType w:val="hybridMultilevel"/>
    <w:tmpl w:val="BAA62230"/>
    <w:lvl w:ilvl="0" w:tplc="FC7E2E26">
      <w:start w:val="1"/>
      <w:numFmt w:val="bullet"/>
      <w:lvlText w:val=""/>
      <w:lvlJc w:val="left"/>
      <w:pPr>
        <w:ind w:left="1440" w:hanging="360"/>
      </w:pPr>
      <w:rPr>
        <w:rFonts w:ascii="Symbol" w:hAnsi="Symbol" w:hint="default"/>
      </w:rPr>
    </w:lvl>
    <w:lvl w:ilvl="1" w:tplc="C1682FB8" w:tentative="1">
      <w:start w:val="1"/>
      <w:numFmt w:val="bullet"/>
      <w:lvlText w:val="o"/>
      <w:lvlJc w:val="left"/>
      <w:pPr>
        <w:ind w:left="2160" w:hanging="360"/>
      </w:pPr>
      <w:rPr>
        <w:rFonts w:ascii="Courier New" w:hAnsi="Courier New" w:cs="Courier New" w:hint="default"/>
      </w:rPr>
    </w:lvl>
    <w:lvl w:ilvl="2" w:tplc="301291DA" w:tentative="1">
      <w:start w:val="1"/>
      <w:numFmt w:val="bullet"/>
      <w:lvlText w:val=""/>
      <w:lvlJc w:val="left"/>
      <w:pPr>
        <w:ind w:left="2880" w:hanging="360"/>
      </w:pPr>
      <w:rPr>
        <w:rFonts w:ascii="Wingdings" w:hAnsi="Wingdings" w:hint="default"/>
      </w:rPr>
    </w:lvl>
    <w:lvl w:ilvl="3" w:tplc="05D658E6" w:tentative="1">
      <w:start w:val="1"/>
      <w:numFmt w:val="bullet"/>
      <w:lvlText w:val=""/>
      <w:lvlJc w:val="left"/>
      <w:pPr>
        <w:ind w:left="3600" w:hanging="360"/>
      </w:pPr>
      <w:rPr>
        <w:rFonts w:ascii="Symbol" w:hAnsi="Symbol" w:hint="default"/>
      </w:rPr>
    </w:lvl>
    <w:lvl w:ilvl="4" w:tplc="0310C254" w:tentative="1">
      <w:start w:val="1"/>
      <w:numFmt w:val="bullet"/>
      <w:lvlText w:val="o"/>
      <w:lvlJc w:val="left"/>
      <w:pPr>
        <w:ind w:left="4320" w:hanging="360"/>
      </w:pPr>
      <w:rPr>
        <w:rFonts w:ascii="Courier New" w:hAnsi="Courier New" w:cs="Courier New" w:hint="default"/>
      </w:rPr>
    </w:lvl>
    <w:lvl w:ilvl="5" w:tplc="C1D0C7C0" w:tentative="1">
      <w:start w:val="1"/>
      <w:numFmt w:val="bullet"/>
      <w:lvlText w:val=""/>
      <w:lvlJc w:val="left"/>
      <w:pPr>
        <w:ind w:left="5040" w:hanging="360"/>
      </w:pPr>
      <w:rPr>
        <w:rFonts w:ascii="Wingdings" w:hAnsi="Wingdings" w:hint="default"/>
      </w:rPr>
    </w:lvl>
    <w:lvl w:ilvl="6" w:tplc="8D4C433E" w:tentative="1">
      <w:start w:val="1"/>
      <w:numFmt w:val="bullet"/>
      <w:lvlText w:val=""/>
      <w:lvlJc w:val="left"/>
      <w:pPr>
        <w:ind w:left="5760" w:hanging="360"/>
      </w:pPr>
      <w:rPr>
        <w:rFonts w:ascii="Symbol" w:hAnsi="Symbol" w:hint="default"/>
      </w:rPr>
    </w:lvl>
    <w:lvl w:ilvl="7" w:tplc="26C4876E" w:tentative="1">
      <w:start w:val="1"/>
      <w:numFmt w:val="bullet"/>
      <w:lvlText w:val="o"/>
      <w:lvlJc w:val="left"/>
      <w:pPr>
        <w:ind w:left="6480" w:hanging="360"/>
      </w:pPr>
      <w:rPr>
        <w:rFonts w:ascii="Courier New" w:hAnsi="Courier New" w:cs="Courier New" w:hint="default"/>
      </w:rPr>
    </w:lvl>
    <w:lvl w:ilvl="8" w:tplc="2DA6A552" w:tentative="1">
      <w:start w:val="1"/>
      <w:numFmt w:val="bullet"/>
      <w:lvlText w:val=""/>
      <w:lvlJc w:val="left"/>
      <w:pPr>
        <w:ind w:left="7200" w:hanging="360"/>
      </w:pPr>
      <w:rPr>
        <w:rFonts w:ascii="Wingdings" w:hAnsi="Wingdings" w:hint="default"/>
      </w:rPr>
    </w:lvl>
  </w:abstractNum>
  <w:abstractNum w:abstractNumId="3" w15:restartNumberingAfterBreak="0">
    <w:nsid w:val="498547E0"/>
    <w:multiLevelType w:val="hybridMultilevel"/>
    <w:tmpl w:val="F8A0CBB0"/>
    <w:lvl w:ilvl="0" w:tplc="7BDAEFB4">
      <w:start w:val="1"/>
      <w:numFmt w:val="decimal"/>
      <w:lvlText w:val="%1."/>
      <w:lvlJc w:val="left"/>
      <w:pPr>
        <w:ind w:left="720" w:hanging="360"/>
      </w:pPr>
      <w:rPr>
        <w:rFonts w:hint="default"/>
      </w:rPr>
    </w:lvl>
    <w:lvl w:ilvl="1" w:tplc="7464A892" w:tentative="1">
      <w:start w:val="1"/>
      <w:numFmt w:val="lowerLetter"/>
      <w:lvlText w:val="%2."/>
      <w:lvlJc w:val="left"/>
      <w:pPr>
        <w:ind w:left="1440" w:hanging="360"/>
      </w:pPr>
    </w:lvl>
    <w:lvl w:ilvl="2" w:tplc="90A48884" w:tentative="1">
      <w:start w:val="1"/>
      <w:numFmt w:val="lowerRoman"/>
      <w:lvlText w:val="%3."/>
      <w:lvlJc w:val="right"/>
      <w:pPr>
        <w:ind w:left="2160" w:hanging="180"/>
      </w:pPr>
    </w:lvl>
    <w:lvl w:ilvl="3" w:tplc="B1942182" w:tentative="1">
      <w:start w:val="1"/>
      <w:numFmt w:val="decimal"/>
      <w:lvlText w:val="%4."/>
      <w:lvlJc w:val="left"/>
      <w:pPr>
        <w:ind w:left="2880" w:hanging="360"/>
      </w:pPr>
    </w:lvl>
    <w:lvl w:ilvl="4" w:tplc="E868A616" w:tentative="1">
      <w:start w:val="1"/>
      <w:numFmt w:val="lowerLetter"/>
      <w:lvlText w:val="%5."/>
      <w:lvlJc w:val="left"/>
      <w:pPr>
        <w:ind w:left="3600" w:hanging="360"/>
      </w:pPr>
    </w:lvl>
    <w:lvl w:ilvl="5" w:tplc="151E7EF8" w:tentative="1">
      <w:start w:val="1"/>
      <w:numFmt w:val="lowerRoman"/>
      <w:lvlText w:val="%6."/>
      <w:lvlJc w:val="right"/>
      <w:pPr>
        <w:ind w:left="4320" w:hanging="180"/>
      </w:pPr>
    </w:lvl>
    <w:lvl w:ilvl="6" w:tplc="61767160" w:tentative="1">
      <w:start w:val="1"/>
      <w:numFmt w:val="decimal"/>
      <w:lvlText w:val="%7."/>
      <w:lvlJc w:val="left"/>
      <w:pPr>
        <w:ind w:left="5040" w:hanging="360"/>
      </w:pPr>
    </w:lvl>
    <w:lvl w:ilvl="7" w:tplc="1360BA50" w:tentative="1">
      <w:start w:val="1"/>
      <w:numFmt w:val="lowerLetter"/>
      <w:lvlText w:val="%8."/>
      <w:lvlJc w:val="left"/>
      <w:pPr>
        <w:ind w:left="5760" w:hanging="360"/>
      </w:pPr>
    </w:lvl>
    <w:lvl w:ilvl="8" w:tplc="0D222336" w:tentative="1">
      <w:start w:val="1"/>
      <w:numFmt w:val="lowerRoman"/>
      <w:lvlText w:val="%9."/>
      <w:lvlJc w:val="right"/>
      <w:pPr>
        <w:ind w:left="6480" w:hanging="180"/>
      </w:pPr>
    </w:lvl>
  </w:abstractNum>
  <w:abstractNum w:abstractNumId="4" w15:restartNumberingAfterBreak="0">
    <w:nsid w:val="52CD5866"/>
    <w:multiLevelType w:val="hybridMultilevel"/>
    <w:tmpl w:val="26B40AFC"/>
    <w:lvl w:ilvl="0" w:tplc="1486996A">
      <w:start w:val="1"/>
      <w:numFmt w:val="bullet"/>
      <w:lvlText w:val=""/>
      <w:lvlJc w:val="left"/>
      <w:pPr>
        <w:ind w:left="1440" w:hanging="360"/>
      </w:pPr>
      <w:rPr>
        <w:rFonts w:ascii="Symbol" w:hAnsi="Symbol" w:hint="default"/>
      </w:rPr>
    </w:lvl>
    <w:lvl w:ilvl="1" w:tplc="1CEAA54E" w:tentative="1">
      <w:start w:val="1"/>
      <w:numFmt w:val="bullet"/>
      <w:lvlText w:val="o"/>
      <w:lvlJc w:val="left"/>
      <w:pPr>
        <w:ind w:left="2160" w:hanging="360"/>
      </w:pPr>
      <w:rPr>
        <w:rFonts w:ascii="Courier New" w:hAnsi="Courier New" w:cs="Courier New" w:hint="default"/>
      </w:rPr>
    </w:lvl>
    <w:lvl w:ilvl="2" w:tplc="227EADAC" w:tentative="1">
      <w:start w:val="1"/>
      <w:numFmt w:val="bullet"/>
      <w:lvlText w:val=""/>
      <w:lvlJc w:val="left"/>
      <w:pPr>
        <w:ind w:left="2880" w:hanging="360"/>
      </w:pPr>
      <w:rPr>
        <w:rFonts w:ascii="Wingdings" w:hAnsi="Wingdings" w:hint="default"/>
      </w:rPr>
    </w:lvl>
    <w:lvl w:ilvl="3" w:tplc="2C52CA06" w:tentative="1">
      <w:start w:val="1"/>
      <w:numFmt w:val="bullet"/>
      <w:lvlText w:val=""/>
      <w:lvlJc w:val="left"/>
      <w:pPr>
        <w:ind w:left="3600" w:hanging="360"/>
      </w:pPr>
      <w:rPr>
        <w:rFonts w:ascii="Symbol" w:hAnsi="Symbol" w:hint="default"/>
      </w:rPr>
    </w:lvl>
    <w:lvl w:ilvl="4" w:tplc="D3108812" w:tentative="1">
      <w:start w:val="1"/>
      <w:numFmt w:val="bullet"/>
      <w:lvlText w:val="o"/>
      <w:lvlJc w:val="left"/>
      <w:pPr>
        <w:ind w:left="4320" w:hanging="360"/>
      </w:pPr>
      <w:rPr>
        <w:rFonts w:ascii="Courier New" w:hAnsi="Courier New" w:cs="Courier New" w:hint="default"/>
      </w:rPr>
    </w:lvl>
    <w:lvl w:ilvl="5" w:tplc="7B4A36E4" w:tentative="1">
      <w:start w:val="1"/>
      <w:numFmt w:val="bullet"/>
      <w:lvlText w:val=""/>
      <w:lvlJc w:val="left"/>
      <w:pPr>
        <w:ind w:left="5040" w:hanging="360"/>
      </w:pPr>
      <w:rPr>
        <w:rFonts w:ascii="Wingdings" w:hAnsi="Wingdings" w:hint="default"/>
      </w:rPr>
    </w:lvl>
    <w:lvl w:ilvl="6" w:tplc="3E8CE14E" w:tentative="1">
      <w:start w:val="1"/>
      <w:numFmt w:val="bullet"/>
      <w:lvlText w:val=""/>
      <w:lvlJc w:val="left"/>
      <w:pPr>
        <w:ind w:left="5760" w:hanging="360"/>
      </w:pPr>
      <w:rPr>
        <w:rFonts w:ascii="Symbol" w:hAnsi="Symbol" w:hint="default"/>
      </w:rPr>
    </w:lvl>
    <w:lvl w:ilvl="7" w:tplc="0D56F5B4" w:tentative="1">
      <w:start w:val="1"/>
      <w:numFmt w:val="bullet"/>
      <w:lvlText w:val="o"/>
      <w:lvlJc w:val="left"/>
      <w:pPr>
        <w:ind w:left="6480" w:hanging="360"/>
      </w:pPr>
      <w:rPr>
        <w:rFonts w:ascii="Courier New" w:hAnsi="Courier New" w:cs="Courier New" w:hint="default"/>
      </w:rPr>
    </w:lvl>
    <w:lvl w:ilvl="8" w:tplc="8CA2C70E" w:tentative="1">
      <w:start w:val="1"/>
      <w:numFmt w:val="bullet"/>
      <w:lvlText w:val=""/>
      <w:lvlJc w:val="left"/>
      <w:pPr>
        <w:ind w:left="7200" w:hanging="360"/>
      </w:pPr>
      <w:rPr>
        <w:rFonts w:ascii="Wingdings" w:hAnsi="Wingdings" w:hint="default"/>
      </w:rPr>
    </w:lvl>
  </w:abstractNum>
  <w:abstractNum w:abstractNumId="5" w15:restartNumberingAfterBreak="0">
    <w:nsid w:val="6AFC15A9"/>
    <w:multiLevelType w:val="hybridMultilevel"/>
    <w:tmpl w:val="79F4FD92"/>
    <w:lvl w:ilvl="0" w:tplc="CE2C0604">
      <w:start w:val="1"/>
      <w:numFmt w:val="decimal"/>
      <w:lvlText w:val="%1."/>
      <w:lvlJc w:val="left"/>
      <w:pPr>
        <w:ind w:left="1440" w:hanging="360"/>
      </w:pPr>
      <w:rPr>
        <w:rFonts w:hint="default"/>
        <w:b/>
      </w:rPr>
    </w:lvl>
    <w:lvl w:ilvl="1" w:tplc="00D67302" w:tentative="1">
      <w:start w:val="1"/>
      <w:numFmt w:val="lowerLetter"/>
      <w:lvlText w:val="%2."/>
      <w:lvlJc w:val="left"/>
      <w:pPr>
        <w:ind w:left="2160" w:hanging="360"/>
      </w:pPr>
    </w:lvl>
    <w:lvl w:ilvl="2" w:tplc="A7B4549A" w:tentative="1">
      <w:start w:val="1"/>
      <w:numFmt w:val="lowerRoman"/>
      <w:lvlText w:val="%3."/>
      <w:lvlJc w:val="right"/>
      <w:pPr>
        <w:ind w:left="2880" w:hanging="180"/>
      </w:pPr>
    </w:lvl>
    <w:lvl w:ilvl="3" w:tplc="17708274" w:tentative="1">
      <w:start w:val="1"/>
      <w:numFmt w:val="decimal"/>
      <w:lvlText w:val="%4."/>
      <w:lvlJc w:val="left"/>
      <w:pPr>
        <w:ind w:left="3600" w:hanging="360"/>
      </w:pPr>
    </w:lvl>
    <w:lvl w:ilvl="4" w:tplc="07CC64A8" w:tentative="1">
      <w:start w:val="1"/>
      <w:numFmt w:val="lowerLetter"/>
      <w:lvlText w:val="%5."/>
      <w:lvlJc w:val="left"/>
      <w:pPr>
        <w:ind w:left="4320" w:hanging="360"/>
      </w:pPr>
    </w:lvl>
    <w:lvl w:ilvl="5" w:tplc="18C0E546" w:tentative="1">
      <w:start w:val="1"/>
      <w:numFmt w:val="lowerRoman"/>
      <w:lvlText w:val="%6."/>
      <w:lvlJc w:val="right"/>
      <w:pPr>
        <w:ind w:left="5040" w:hanging="180"/>
      </w:pPr>
    </w:lvl>
    <w:lvl w:ilvl="6" w:tplc="66240362" w:tentative="1">
      <w:start w:val="1"/>
      <w:numFmt w:val="decimal"/>
      <w:lvlText w:val="%7."/>
      <w:lvlJc w:val="left"/>
      <w:pPr>
        <w:ind w:left="5760" w:hanging="360"/>
      </w:pPr>
    </w:lvl>
    <w:lvl w:ilvl="7" w:tplc="288E550A" w:tentative="1">
      <w:start w:val="1"/>
      <w:numFmt w:val="lowerLetter"/>
      <w:lvlText w:val="%8."/>
      <w:lvlJc w:val="left"/>
      <w:pPr>
        <w:ind w:left="6480" w:hanging="360"/>
      </w:pPr>
    </w:lvl>
    <w:lvl w:ilvl="8" w:tplc="F21A6298" w:tentative="1">
      <w:start w:val="1"/>
      <w:numFmt w:val="lowerRoman"/>
      <w:lvlText w:val="%9."/>
      <w:lvlJc w:val="right"/>
      <w:pPr>
        <w:ind w:left="7200" w:hanging="180"/>
      </w:pPr>
    </w:lvl>
  </w:abstractNum>
  <w:num w:numId="1">
    <w:abstractNumId w:val="0"/>
  </w:num>
  <w:num w:numId="2">
    <w:abstractNumId w:val="1"/>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024"/>
    <w:rsid w:val="00031AD2"/>
    <w:rsid w:val="0009574F"/>
    <w:rsid w:val="000B04CB"/>
    <w:rsid w:val="00154C2A"/>
    <w:rsid w:val="001F2964"/>
    <w:rsid w:val="00257E3E"/>
    <w:rsid w:val="00270331"/>
    <w:rsid w:val="002A4893"/>
    <w:rsid w:val="00321D01"/>
    <w:rsid w:val="00334FBE"/>
    <w:rsid w:val="0043382D"/>
    <w:rsid w:val="00450DAB"/>
    <w:rsid w:val="004F4599"/>
    <w:rsid w:val="0056291E"/>
    <w:rsid w:val="00597B4E"/>
    <w:rsid w:val="006440A0"/>
    <w:rsid w:val="00671342"/>
    <w:rsid w:val="00681667"/>
    <w:rsid w:val="006C4FF0"/>
    <w:rsid w:val="006F0E66"/>
    <w:rsid w:val="00705065"/>
    <w:rsid w:val="00794E3F"/>
    <w:rsid w:val="007A39F7"/>
    <w:rsid w:val="007E26C2"/>
    <w:rsid w:val="007E43ED"/>
    <w:rsid w:val="007F3D4E"/>
    <w:rsid w:val="00810024"/>
    <w:rsid w:val="00871C57"/>
    <w:rsid w:val="00911D38"/>
    <w:rsid w:val="00943946"/>
    <w:rsid w:val="0095633B"/>
    <w:rsid w:val="00987126"/>
    <w:rsid w:val="009A0814"/>
    <w:rsid w:val="00A17ECD"/>
    <w:rsid w:val="00A32C85"/>
    <w:rsid w:val="00A74B5A"/>
    <w:rsid w:val="00A75D5E"/>
    <w:rsid w:val="00B20E0F"/>
    <w:rsid w:val="00BC103B"/>
    <w:rsid w:val="00C55E4F"/>
    <w:rsid w:val="00C96857"/>
    <w:rsid w:val="00D415A1"/>
    <w:rsid w:val="00DF3460"/>
    <w:rsid w:val="00EB4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E84897"/>
  <w15:docId w15:val="{46D5BE03-7A8C-4114-9271-2BF587CA4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3D4E"/>
    <w:pPr>
      <w:ind w:left="720"/>
      <w:contextualSpacing/>
    </w:pPr>
  </w:style>
  <w:style w:type="paragraph" w:styleId="Header">
    <w:name w:val="header"/>
    <w:basedOn w:val="Normal"/>
    <w:link w:val="HeaderChar"/>
    <w:uiPriority w:val="99"/>
    <w:unhideWhenUsed/>
    <w:rsid w:val="009A08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0814"/>
  </w:style>
  <w:style w:type="paragraph" w:styleId="Footer">
    <w:name w:val="footer"/>
    <w:basedOn w:val="Normal"/>
    <w:link w:val="FooterChar"/>
    <w:uiPriority w:val="99"/>
    <w:unhideWhenUsed/>
    <w:rsid w:val="009A08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0814"/>
  </w:style>
  <w:style w:type="character" w:styleId="HTMLCite">
    <w:name w:val="HTML Cite"/>
    <w:basedOn w:val="DefaultParagraphFont"/>
    <w:uiPriority w:val="99"/>
    <w:semiHidden/>
    <w:unhideWhenUsed/>
    <w:rsid w:val="006440A0"/>
    <w:rPr>
      <w:i/>
      <w:iCs/>
    </w:rPr>
  </w:style>
  <w:style w:type="character" w:styleId="Hyperlink">
    <w:name w:val="Hyperlink"/>
    <w:basedOn w:val="DefaultParagraphFont"/>
    <w:uiPriority w:val="99"/>
    <w:semiHidden/>
    <w:unhideWhenUsed/>
    <w:rsid w:val="006440A0"/>
    <w:rPr>
      <w:color w:val="0000FF"/>
      <w:u w:val="single"/>
    </w:rPr>
  </w:style>
  <w:style w:type="character" w:customStyle="1" w:styleId="reference-accessdate">
    <w:name w:val="reference-accessdate"/>
    <w:basedOn w:val="DefaultParagraphFont"/>
    <w:rsid w:val="006440A0"/>
  </w:style>
  <w:style w:type="character" w:customStyle="1" w:styleId="nowrap">
    <w:name w:val="nowrap"/>
    <w:basedOn w:val="DefaultParagraphFont"/>
    <w:rsid w:val="006440A0"/>
  </w:style>
  <w:style w:type="paragraph" w:styleId="FootnoteText">
    <w:name w:val="footnote text"/>
    <w:basedOn w:val="Normal"/>
    <w:link w:val="FootnoteTextChar"/>
    <w:uiPriority w:val="99"/>
    <w:semiHidden/>
    <w:unhideWhenUsed/>
    <w:rsid w:val="007A39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39F7"/>
    <w:rPr>
      <w:sz w:val="20"/>
      <w:szCs w:val="20"/>
    </w:rPr>
  </w:style>
  <w:style w:type="character" w:styleId="FootnoteReference">
    <w:name w:val="footnote reference"/>
    <w:basedOn w:val="DefaultParagraphFont"/>
    <w:uiPriority w:val="99"/>
    <w:semiHidden/>
    <w:unhideWhenUsed/>
    <w:rsid w:val="007A39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666504">
      <w:bodyDiv w:val="1"/>
      <w:marLeft w:val="0"/>
      <w:marRight w:val="0"/>
      <w:marTop w:val="0"/>
      <w:marBottom w:val="0"/>
      <w:divBdr>
        <w:top w:val="none" w:sz="0" w:space="0" w:color="auto"/>
        <w:left w:val="none" w:sz="0" w:space="0" w:color="auto"/>
        <w:bottom w:val="none" w:sz="0" w:space="0" w:color="auto"/>
        <w:right w:val="none" w:sz="0" w:space="0" w:color="auto"/>
      </w:divBdr>
      <w:divsChild>
        <w:div w:id="199630724">
          <w:marLeft w:val="0"/>
          <w:marRight w:val="0"/>
          <w:marTop w:val="0"/>
          <w:marBottom w:val="0"/>
          <w:divBdr>
            <w:top w:val="none" w:sz="0" w:space="0" w:color="auto"/>
            <w:left w:val="none" w:sz="0" w:space="0" w:color="auto"/>
            <w:bottom w:val="none" w:sz="0" w:space="0" w:color="auto"/>
            <w:right w:val="none" w:sz="0" w:space="0" w:color="auto"/>
          </w:divBdr>
        </w:div>
      </w:divsChild>
    </w:div>
    <w:div w:id="393626152">
      <w:bodyDiv w:val="1"/>
      <w:marLeft w:val="0"/>
      <w:marRight w:val="0"/>
      <w:marTop w:val="0"/>
      <w:marBottom w:val="0"/>
      <w:divBdr>
        <w:top w:val="none" w:sz="0" w:space="0" w:color="auto"/>
        <w:left w:val="none" w:sz="0" w:space="0" w:color="auto"/>
        <w:bottom w:val="none" w:sz="0" w:space="0" w:color="auto"/>
        <w:right w:val="none" w:sz="0" w:space="0" w:color="auto"/>
      </w:divBdr>
      <w:divsChild>
        <w:div w:id="1752042584">
          <w:marLeft w:val="0"/>
          <w:marRight w:val="0"/>
          <w:marTop w:val="0"/>
          <w:marBottom w:val="0"/>
          <w:divBdr>
            <w:top w:val="none" w:sz="0" w:space="0" w:color="auto"/>
            <w:left w:val="none" w:sz="0" w:space="0" w:color="auto"/>
            <w:bottom w:val="none" w:sz="0" w:space="0" w:color="auto"/>
            <w:right w:val="none" w:sz="0" w:space="0" w:color="auto"/>
          </w:divBdr>
        </w:div>
      </w:divsChild>
    </w:div>
    <w:div w:id="672294406">
      <w:bodyDiv w:val="1"/>
      <w:marLeft w:val="0"/>
      <w:marRight w:val="0"/>
      <w:marTop w:val="0"/>
      <w:marBottom w:val="0"/>
      <w:divBdr>
        <w:top w:val="none" w:sz="0" w:space="0" w:color="auto"/>
        <w:left w:val="none" w:sz="0" w:space="0" w:color="auto"/>
        <w:bottom w:val="none" w:sz="0" w:space="0" w:color="auto"/>
        <w:right w:val="none" w:sz="0" w:space="0" w:color="auto"/>
      </w:divBdr>
      <w:divsChild>
        <w:div w:id="1434280704">
          <w:marLeft w:val="0"/>
          <w:marRight w:val="0"/>
          <w:marTop w:val="0"/>
          <w:marBottom w:val="0"/>
          <w:divBdr>
            <w:top w:val="none" w:sz="0" w:space="0" w:color="auto"/>
            <w:left w:val="none" w:sz="0" w:space="0" w:color="auto"/>
            <w:bottom w:val="none" w:sz="0" w:space="0" w:color="auto"/>
            <w:right w:val="none" w:sz="0" w:space="0" w:color="auto"/>
          </w:divBdr>
        </w:div>
      </w:divsChild>
    </w:div>
    <w:div w:id="1172792559">
      <w:bodyDiv w:val="1"/>
      <w:marLeft w:val="0"/>
      <w:marRight w:val="0"/>
      <w:marTop w:val="0"/>
      <w:marBottom w:val="0"/>
      <w:divBdr>
        <w:top w:val="none" w:sz="0" w:space="0" w:color="auto"/>
        <w:left w:val="none" w:sz="0" w:space="0" w:color="auto"/>
        <w:bottom w:val="none" w:sz="0" w:space="0" w:color="auto"/>
        <w:right w:val="none" w:sz="0" w:space="0" w:color="auto"/>
      </w:divBdr>
      <w:divsChild>
        <w:div w:id="1166822227">
          <w:marLeft w:val="0"/>
          <w:marRight w:val="0"/>
          <w:marTop w:val="0"/>
          <w:marBottom w:val="0"/>
          <w:divBdr>
            <w:top w:val="none" w:sz="0" w:space="0" w:color="auto"/>
            <w:left w:val="none" w:sz="0" w:space="0" w:color="auto"/>
            <w:bottom w:val="none" w:sz="0" w:space="0" w:color="auto"/>
            <w:right w:val="none" w:sz="0" w:space="0" w:color="auto"/>
          </w:divBdr>
        </w:div>
      </w:divsChild>
    </w:div>
    <w:div w:id="1245529337">
      <w:bodyDiv w:val="1"/>
      <w:marLeft w:val="0"/>
      <w:marRight w:val="0"/>
      <w:marTop w:val="0"/>
      <w:marBottom w:val="0"/>
      <w:divBdr>
        <w:top w:val="none" w:sz="0" w:space="0" w:color="auto"/>
        <w:left w:val="none" w:sz="0" w:space="0" w:color="auto"/>
        <w:bottom w:val="none" w:sz="0" w:space="0" w:color="auto"/>
        <w:right w:val="none" w:sz="0" w:space="0" w:color="auto"/>
      </w:divBdr>
      <w:divsChild>
        <w:div w:id="765223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n.wikipedia.org/w/index.php?title=Scottish_Council_of_Law_Reporting&amp;action=edit&amp;redlink=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cottishlawreports.org.uk/resources/dvs/mrs-donoghue-journey.html" TargetMode="External"/><Relationship Id="rId17" Type="http://schemas.openxmlformats.org/officeDocument/2006/relationships/hyperlink" Target="https://en.wikipedia.org/w/index.php?title=Scottish_Council_of_Law_Reporting&amp;action=edit&amp;redlink=1" TargetMode="External"/><Relationship Id="rId2" Type="http://schemas.openxmlformats.org/officeDocument/2006/relationships/numbering" Target="numbering.xml"/><Relationship Id="rId16" Type="http://schemas.openxmlformats.org/officeDocument/2006/relationships/hyperlink" Target="http://www.scottishlawreports.org.uk/resources/dvs/mrs-donoghue-journey.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EBB4D-46F3-4943-ADD8-CA55AA73A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2569</Words>
  <Characters>14645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moses</dc:creator>
  <cp:lastModifiedBy>MM</cp:lastModifiedBy>
  <cp:revision>2</cp:revision>
  <dcterms:created xsi:type="dcterms:W3CDTF">2020-04-26T08:47:00Z</dcterms:created>
  <dcterms:modified xsi:type="dcterms:W3CDTF">2020-04-26T08:47:00Z</dcterms:modified>
</cp:coreProperties>
</file>